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A20E4" w14:textId="77777777" w:rsidR="00B343B4" w:rsidRPr="00732B92" w:rsidRDefault="00B343B4" w:rsidP="00B343B4">
      <w:pPr>
        <w:jc w:val="both"/>
        <w:rPr>
          <w:rFonts w:ascii="Calibri Light" w:hAnsi="Calibri Light" w:cs="Calibri Light"/>
          <w:b/>
          <w:bCs/>
          <w:sz w:val="36"/>
          <w:szCs w:val="36"/>
        </w:rPr>
      </w:pPr>
      <w:r w:rsidRPr="00732B92">
        <w:rPr>
          <w:rFonts w:ascii="Calibri Light" w:hAnsi="Calibri Light" w:cs="Calibri Light"/>
          <w:b/>
          <w:bCs/>
          <w:sz w:val="36"/>
          <w:szCs w:val="36"/>
        </w:rPr>
        <w:t>La "Cassetta degli Attrezzi": Tecniche di Scrittura</w:t>
      </w:r>
    </w:p>
    <w:p w14:paraId="209CC53A" w14:textId="77777777" w:rsidR="00B343B4" w:rsidRPr="00732B92" w:rsidRDefault="00B343B4" w:rsidP="00B343B4">
      <w:pPr>
        <w:ind w:left="708"/>
        <w:rPr>
          <w:rFonts w:ascii="Calibri Light" w:hAnsi="Calibri Light" w:cs="Calibri Light"/>
          <w:b/>
          <w:bCs/>
          <w:sz w:val="36"/>
          <w:szCs w:val="36"/>
        </w:rPr>
      </w:pPr>
      <w:r w:rsidRPr="00732B92">
        <w:rPr>
          <w:rFonts w:ascii="Calibri Light" w:hAnsi="Calibri Light" w:cs="Calibri Light"/>
          <w:b/>
          <w:bCs/>
          <w:sz w:val="36"/>
          <w:szCs w:val="36"/>
        </w:rPr>
        <w:t>A) Tabella di Traduzione Operativa</w:t>
      </w:r>
    </w:p>
    <w:p w14:paraId="02317F0E" w14:textId="3AFB3D4F" w:rsidR="00B343B4" w:rsidRPr="00732B92" w:rsidRDefault="00B343B4" w:rsidP="00B343B4">
      <w:pPr>
        <w:ind w:left="708"/>
        <w:rPr>
          <w:rFonts w:ascii="Calibri Light" w:hAnsi="Calibri Light" w:cs="Calibri Light"/>
          <w:sz w:val="28"/>
          <w:szCs w:val="28"/>
        </w:rPr>
      </w:pPr>
      <w:r w:rsidRPr="00732B92">
        <w:rPr>
          <w:rFonts w:ascii="Calibri Light" w:hAnsi="Calibri Light" w:cs="Calibri Light"/>
          <w:i/>
          <w:iCs/>
          <w:sz w:val="28"/>
          <w:szCs w:val="28"/>
        </w:rPr>
        <w:t>Prontuario rapido per trasformare il gergo arcaico in linguaggio moderno.</w:t>
      </w:r>
    </w:p>
    <w:p w14:paraId="6AF2BB66" w14:textId="77777777" w:rsidR="00B343B4" w:rsidRPr="00B343B4" w:rsidRDefault="00B343B4" w:rsidP="00B343B4">
      <w:pPr>
        <w:ind w:left="708"/>
        <w:rPr>
          <w:rFonts w:ascii="Calibri" w:hAnsi="Calibri" w:cs="Calibri"/>
          <w:sz w:val="24"/>
          <w:szCs w:val="24"/>
        </w:rPr>
      </w:pPr>
    </w:p>
    <w:p w14:paraId="245950C9" w14:textId="77777777" w:rsidR="00B343B4" w:rsidRDefault="00B343B4"/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6"/>
        <w:gridCol w:w="2831"/>
        <w:gridCol w:w="3995"/>
      </w:tblGrid>
      <w:tr w:rsidR="00732B92" w:rsidRPr="00732B92" w14:paraId="03276C5C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699139B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sz w:val="28"/>
                <w:szCs w:val="28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sz w:val="28"/>
                <w:szCs w:val="28"/>
                <w:bdr w:val="none" w:sz="0" w:space="0" w:color="auto" w:frame="1"/>
                <w:lang w:eastAsia="it-IT"/>
                <w14:ligatures w14:val="none"/>
              </w:rPr>
              <w:t>Termine Burocratico (Da eliminare)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991E785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sz w:val="28"/>
                <w:szCs w:val="28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sz w:val="28"/>
                <w:szCs w:val="28"/>
                <w:bdr w:val="none" w:sz="0" w:space="0" w:color="auto" w:frame="1"/>
                <w:lang w:eastAsia="it-IT"/>
                <w14:ligatures w14:val="none"/>
              </w:rPr>
              <w:t>Traduzione Semplice (Da usare)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D6B945C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sz w:val="28"/>
                <w:szCs w:val="28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sz w:val="28"/>
                <w:szCs w:val="28"/>
                <w:bdr w:val="none" w:sz="0" w:space="0" w:color="auto" w:frame="1"/>
                <w:lang w:eastAsia="it-IT"/>
                <w14:ligatures w14:val="none"/>
              </w:rPr>
              <w:t>Perché farlo?</w:t>
            </w:r>
          </w:p>
        </w:tc>
      </w:tr>
      <w:tr w:rsidR="00732B92" w:rsidRPr="00732B92" w14:paraId="26173EC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A74BE38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Addì...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BB2380D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Il... (es. il 19/03/2026)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F1CFCB3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Arcaico; confonde cittadini, nuovi assunti e software.</w:t>
            </w:r>
          </w:p>
        </w:tc>
      </w:tr>
      <w:tr w:rsidR="00732B92" w:rsidRPr="00732B92" w14:paraId="778D841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4D0841A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Ai sensi di... / In ottemperanza a...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E68C68B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Come previsto da... / Secondo la legge...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49587F5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Spiega la relazione normativa senza usare formule solenni e distanti.</w:t>
            </w:r>
          </w:p>
        </w:tc>
      </w:tr>
      <w:tr w:rsidR="00732B92" w:rsidRPr="00732B92" w14:paraId="14C02BF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B114824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All'uopo / A tal uopo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1094234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A questo scopo / Per questo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B3D966A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Sostituisce una locuzione arcaica che appesantisce inutilmente il testo.</w:t>
            </w:r>
          </w:p>
        </w:tc>
      </w:tr>
      <w:tr w:rsidR="00732B92" w:rsidRPr="00732B92" w14:paraId="3FBC398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B6352D6" w14:textId="72308702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 xml:space="preserve">Atteso che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C6DA6BF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Dato che / Poiché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5A2C069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Rende la frase più leggera e logicamente immediata.</w:t>
            </w:r>
          </w:p>
        </w:tc>
      </w:tr>
      <w:tr w:rsidR="00732B92" w:rsidRPr="00732B92" w14:paraId="766F353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2F7275D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Codesto Ente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EADED48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Questo Comune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174BC7A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Riduce la distanza percepita con l'utente.</w:t>
            </w:r>
          </w:p>
        </w:tc>
      </w:tr>
      <w:tr w:rsidR="00732B92" w:rsidRPr="00732B92" w14:paraId="011C0FE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3594EDB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Combinato disposto (degli artt...)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432FEB4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Dall'unione delle norme... / Leggendo insieme...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361FC62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Trasforma un incastro tecnico in un'operazione logica comprensibile.</w:t>
            </w:r>
          </w:p>
        </w:tc>
      </w:tr>
      <w:tr w:rsidR="00732B92" w:rsidRPr="00732B92" w14:paraId="6ABD41C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C9AAB4B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Dà facoltà di...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4AA33B0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Permette di... / Consente di...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08DCB4E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Trasforma una concessione "dall'alto" in una possibilità operativa.</w:t>
            </w:r>
          </w:p>
        </w:tc>
      </w:tr>
      <w:tr w:rsidR="00732B92" w:rsidRPr="00732B92" w14:paraId="51409DA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99081D2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Darsi carico di...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7D14708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Occuparsi di... / Provvedere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29ECD8D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Sostituisce una metafora pesante con un impegno operativo chiaro.</w:t>
            </w:r>
          </w:p>
        </w:tc>
      </w:tr>
      <w:tr w:rsidR="00732B92" w:rsidRPr="00732B92" w14:paraId="53F109F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6ECB3DC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Effettuare la comunicazione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1BCCE7F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Comunicare / Scrivere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34AB43B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I verbi "supporto" (fare, effettuare) allungano inutilmente la frase.</w:t>
            </w:r>
          </w:p>
        </w:tc>
      </w:tr>
      <w:tr w:rsidR="00732B92" w:rsidRPr="00732B92" w14:paraId="1A96CE3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117E3A1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lastRenderedPageBreak/>
              <w:t>Entro e non oltre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C847958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Entro il...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130075A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La ridondanza non aggiunge valore legale, appesantisce solo il testo.</w:t>
            </w:r>
          </w:p>
        </w:tc>
      </w:tr>
      <w:tr w:rsidR="00732B92" w:rsidRPr="00732B92" w14:paraId="29C7815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67177CF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Entro il termine perentorio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A0E0EA6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Tassativamente entro il...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854D6F7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Rende l'idea di scadenza invalicabile senza usare termini tecnici scoraggianti.</w:t>
            </w:r>
          </w:p>
        </w:tc>
      </w:tr>
      <w:tr w:rsidR="00732B92" w:rsidRPr="00732B92" w14:paraId="673B9BB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5B9EEF9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Espletare (una pratica)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911B6C7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Svolgere / Concludere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79DAE7C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"Espletare" è generico e freddo; meglio essere specifici.</w:t>
            </w:r>
          </w:p>
        </w:tc>
      </w:tr>
      <w:tr w:rsidR="00732B92" w:rsidRPr="00732B92" w14:paraId="14997DE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4D2B9E9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Evincere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3332371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Capire / Ricavare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BE3935E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Sostituisce un termine dotto con uno che descrive un processo mentale comune.</w:t>
            </w:r>
          </w:p>
        </w:tc>
      </w:tr>
      <w:tr w:rsidR="00732B92" w:rsidRPr="00732B92" w14:paraId="30515F2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F7ED69C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Fruizione / Fruire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FFC0F84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Uso / Usare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3EC0390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Rende il servizio immediatamente comprensibile come beneficio reale.</w:t>
            </w:r>
          </w:p>
        </w:tc>
      </w:tr>
      <w:tr w:rsidR="00732B92" w:rsidRPr="00732B92" w14:paraId="1F4A2C7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CBC9C69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In calce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AC92CEE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In fondo / Alla fine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2CD7690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Indica chiaramente la posizione spaziale nel documento.</w:t>
            </w:r>
          </w:p>
        </w:tc>
      </w:tr>
      <w:tr w:rsidR="00732B92" w:rsidRPr="00732B92" w14:paraId="1BB02AC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B985C8B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In data odierna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F2341C0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Oggi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69E22F7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Più diretto; facilita la lettura rapida e l'indicizzazione.</w:t>
            </w:r>
          </w:p>
        </w:tc>
      </w:tr>
      <w:tr w:rsidR="00732B92" w:rsidRPr="00732B92" w14:paraId="1F5D8EC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06523D3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Istanza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31C3D34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Domanda / Richiesta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D64CEC6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Termine tecnico che può scoraggiare la partecipazione.</w:t>
            </w:r>
          </w:p>
        </w:tc>
      </w:tr>
      <w:tr w:rsidR="00732B92" w:rsidRPr="00732B92" w14:paraId="407567D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33BEE2A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Liquidazione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D2CBB18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Pagamento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8124889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Diretto, chiaro e non fraintendibile dall'IA.</w:t>
            </w:r>
          </w:p>
        </w:tc>
      </w:tr>
      <w:tr w:rsidR="00732B92" w:rsidRPr="00732B92" w14:paraId="7ED1BF6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31C91AB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Nulla osta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A0D37AC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Autorizzazione / Permesso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81D8059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"Nulla osta" è un tipico termine "al negativo"; meglio usare termini affermativi.</w:t>
            </w:r>
          </w:p>
        </w:tc>
      </w:tr>
      <w:tr w:rsidR="00732B92" w:rsidRPr="00732B92" w14:paraId="72B8086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FA7DF67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Pervenire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632534C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Arrivare / Ricevere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3B2857F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Elimina un verbo solenne a favore di uno quotidiano e immediato.</w:t>
            </w:r>
          </w:p>
        </w:tc>
      </w:tr>
      <w:tr w:rsidR="00732B92" w:rsidRPr="00732B92" w14:paraId="59277CF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927BBF4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Posto in essere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462336B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Fatto / Realizzato / Adottato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65B570D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Sostituisce una perifrasi passiva con un verbo d'azione concreto.</w:t>
            </w:r>
          </w:p>
        </w:tc>
      </w:tr>
      <w:tr w:rsidR="00732B92" w:rsidRPr="00732B92" w14:paraId="65DB66C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AF2EBFF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lastRenderedPageBreak/>
              <w:t>Preposto / Incaricato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45479AB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Responsabile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7CC5B68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Identifica chiaramente la figura di riferimento senza ambiguità.</w:t>
            </w:r>
          </w:p>
        </w:tc>
      </w:tr>
      <w:tr w:rsidR="00732B92" w:rsidRPr="00732B92" w14:paraId="680D205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D035490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Procedere alla notifica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3CFD17B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Notificare / Informare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6A44C3B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La forma attiva è più potente e meno "macchinosa" per l'IA.</w:t>
            </w:r>
          </w:p>
        </w:tc>
      </w:tr>
      <w:tr w:rsidR="00732B92" w:rsidRPr="00732B92" w14:paraId="400EC97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A9D95B2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Produrre documentazione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A84B86F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Inviare i documenti / Allegare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0A47450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Più concreto; indica chiaramente l'azione che il cittadino deve compiere.</w:t>
            </w:r>
          </w:p>
        </w:tc>
      </w:tr>
      <w:tr w:rsidR="00732B92" w:rsidRPr="00732B92" w14:paraId="3D4C200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25316F3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Qualora / Ove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8A422E0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Se / Nel caso in cui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BDAA07F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Più breve e diretto; facilita la comprensione immediata della condizione.</w:t>
            </w:r>
          </w:p>
        </w:tc>
      </w:tr>
      <w:tr w:rsidR="00732B92" w:rsidRPr="00732B92" w14:paraId="4E5EDCC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C7551A2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Si porta a conoscenza che...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BC98A52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Informiamo che... / Si comunica che...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DCC36CA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Elimina le perifrasi inutili per arrivare subito al punto.</w:t>
            </w:r>
          </w:p>
        </w:tc>
      </w:tr>
      <w:tr w:rsidR="00732B92" w:rsidRPr="00732B92" w14:paraId="3BF0E7A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8482EEF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Stante quanto sopra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43D5798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b/>
                <w:bCs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Per questo motivo / Quindi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0565B13" w14:textId="77777777" w:rsidR="00732B92" w:rsidRPr="00732B92" w:rsidRDefault="00732B92" w:rsidP="00732B92">
            <w:pPr>
              <w:spacing w:after="0" w:line="240" w:lineRule="auto"/>
              <w:rPr>
                <w:rFonts w:ascii="Calibri Light" w:eastAsia="Times New Roman" w:hAnsi="Calibri Light" w:cs="Calibri Light"/>
                <w:color w:val="1F1F1F"/>
                <w:kern w:val="0"/>
                <w:lang w:eastAsia="it-IT"/>
                <w14:ligatures w14:val="none"/>
              </w:rPr>
            </w:pPr>
            <w:r w:rsidRPr="00732B92">
              <w:rPr>
                <w:rFonts w:ascii="Calibri Light" w:eastAsia="Times New Roman" w:hAnsi="Calibri Light" w:cs="Calibri Light"/>
                <w:color w:val="1F1F1F"/>
                <w:kern w:val="0"/>
                <w:bdr w:val="none" w:sz="0" w:space="0" w:color="auto" w:frame="1"/>
                <w:lang w:eastAsia="it-IT"/>
                <w14:ligatures w14:val="none"/>
              </w:rPr>
              <w:t>Rende la connessione logica immediata e meno macchinosa.</w:t>
            </w:r>
          </w:p>
        </w:tc>
      </w:tr>
    </w:tbl>
    <w:p w14:paraId="020A4C0F" w14:textId="77777777" w:rsidR="00732B92" w:rsidRDefault="00732B92"/>
    <w:p w14:paraId="417F3A82" w14:textId="77777777" w:rsidR="00B052ED" w:rsidRDefault="00B052ED"/>
    <w:sectPr w:rsidR="00B052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6EB"/>
    <w:multiLevelType w:val="multilevel"/>
    <w:tmpl w:val="233A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734E37"/>
    <w:multiLevelType w:val="multilevel"/>
    <w:tmpl w:val="9814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5730789">
    <w:abstractNumId w:val="1"/>
  </w:num>
  <w:num w:numId="2" w16cid:durableId="1653630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B4"/>
    <w:rsid w:val="00564314"/>
    <w:rsid w:val="006742CC"/>
    <w:rsid w:val="00732B92"/>
    <w:rsid w:val="007D6A5A"/>
    <w:rsid w:val="00834BB2"/>
    <w:rsid w:val="009D3FC7"/>
    <w:rsid w:val="009E6E79"/>
    <w:rsid w:val="00B052ED"/>
    <w:rsid w:val="00B343B4"/>
    <w:rsid w:val="00B35F7B"/>
    <w:rsid w:val="00EE0CBB"/>
    <w:rsid w:val="00F4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3BB0B"/>
  <w15:chartTrackingRefBased/>
  <w15:docId w15:val="{2D8435C6-114D-4C3C-BDB3-36B814B8F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43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43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43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43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43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43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43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43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43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43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43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43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43B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43B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43B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43B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43B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43B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43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4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43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43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43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43B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343B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43B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43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43B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43B4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834B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TONIA MAFFEI</dc:creator>
  <cp:keywords/>
  <dc:description/>
  <cp:lastModifiedBy>TONIA MAFFEI</cp:lastModifiedBy>
  <cp:revision>6</cp:revision>
  <dcterms:created xsi:type="dcterms:W3CDTF">2026-04-14T13:02:00Z</dcterms:created>
  <dcterms:modified xsi:type="dcterms:W3CDTF">2026-04-16T16:39:00Z</dcterms:modified>
</cp:coreProperties>
</file>