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7AECD" w14:textId="77777777" w:rsidR="00123BE0" w:rsidRPr="00123BE0" w:rsidRDefault="00123BE0" w:rsidP="00123BE0">
      <w:pPr>
        <w:spacing w:after="0" w:line="240" w:lineRule="auto"/>
        <w:rPr>
          <w:rFonts w:ascii="Times New Roman" w:eastAsia="Times New Roman" w:hAnsi="Times New Roman" w:cs="Times New Roman"/>
          <w:sz w:val="24"/>
          <w:szCs w:val="24"/>
          <w:lang w:eastAsia="it-IT"/>
        </w:rPr>
      </w:pPr>
      <w:r w:rsidRPr="00123BE0">
        <w:rPr>
          <w:rFonts w:ascii="Times New Roman" w:eastAsia="Times New Roman" w:hAnsi="Times New Roman" w:cs="Times New Roman"/>
          <w:color w:val="000000"/>
          <w:sz w:val="27"/>
          <w:szCs w:val="27"/>
          <w:lang w:eastAsia="it-IT"/>
        </w:rPr>
        <w:t>Pubblicato il 18/10/2019</w:t>
      </w:r>
    </w:p>
    <w:p w14:paraId="3669D13B" w14:textId="77777777" w:rsidR="00123BE0" w:rsidRPr="00123BE0" w:rsidRDefault="00123BE0" w:rsidP="00123BE0">
      <w:pPr>
        <w:spacing w:before="100" w:beforeAutospacing="1" w:after="100" w:afterAutospacing="1" w:line="0" w:lineRule="atLeast"/>
        <w:jc w:val="right"/>
        <w:rPr>
          <w:rFonts w:ascii="Times Nordic" w:eastAsia="Times New Roman" w:hAnsi="Times Nordic" w:cs="Times New Roman"/>
          <w:b/>
          <w:bCs/>
          <w:color w:val="000000"/>
          <w:lang w:eastAsia="it-IT"/>
        </w:rPr>
      </w:pPr>
      <w:r w:rsidRPr="00123BE0">
        <w:rPr>
          <w:rFonts w:ascii="Times Nordic" w:eastAsia="Times New Roman" w:hAnsi="Times Nordic" w:cs="Times New Roman"/>
          <w:b/>
          <w:bCs/>
          <w:color w:val="000000"/>
          <w:lang w:eastAsia="it-IT"/>
        </w:rPr>
        <w:t>N. 12051/2019 REG.PROV.COLL.</w:t>
      </w:r>
    </w:p>
    <w:p w14:paraId="148C8759" w14:textId="77777777" w:rsidR="00123BE0" w:rsidRPr="00123BE0" w:rsidRDefault="00123BE0" w:rsidP="00123BE0">
      <w:pPr>
        <w:spacing w:before="100" w:beforeAutospacing="1" w:after="100" w:afterAutospacing="1" w:line="0" w:lineRule="atLeast"/>
        <w:jc w:val="right"/>
        <w:rPr>
          <w:rFonts w:ascii="Times Nordic" w:eastAsia="Times New Roman" w:hAnsi="Times Nordic" w:cs="Times New Roman"/>
          <w:b/>
          <w:bCs/>
          <w:color w:val="000000"/>
          <w:lang w:eastAsia="it-IT"/>
        </w:rPr>
      </w:pPr>
      <w:r w:rsidRPr="00123BE0">
        <w:rPr>
          <w:rFonts w:ascii="Times Nordic" w:eastAsia="Times New Roman" w:hAnsi="Times Nordic" w:cs="Times New Roman"/>
          <w:b/>
          <w:bCs/>
          <w:color w:val="000000"/>
          <w:lang w:eastAsia="it-IT"/>
        </w:rPr>
        <w:t>N. 05596/2019 REG.RIC.</w:t>
      </w:r>
    </w:p>
    <w:p w14:paraId="6E311CAC" w14:textId="50EEE201" w:rsidR="00123BE0" w:rsidRPr="00123BE0" w:rsidRDefault="00123BE0" w:rsidP="00123BE0">
      <w:pPr>
        <w:spacing w:before="100" w:beforeAutospacing="1" w:after="100" w:afterAutospacing="1" w:line="240" w:lineRule="auto"/>
        <w:jc w:val="center"/>
        <w:rPr>
          <w:rFonts w:ascii="Garamond" w:eastAsia="Times New Roman" w:hAnsi="Garamond" w:cs="Times New Roman"/>
          <w:b/>
          <w:bCs/>
          <w:color w:val="000000"/>
          <w:spacing w:val="150"/>
          <w:sz w:val="27"/>
          <w:szCs w:val="27"/>
          <w:lang w:eastAsia="it-IT"/>
        </w:rPr>
      </w:pPr>
      <w:r w:rsidRPr="00123BE0">
        <w:rPr>
          <w:rFonts w:ascii="Garamond" w:eastAsia="Times New Roman" w:hAnsi="Garamond" w:cs="Times New Roman"/>
          <w:b/>
          <w:bCs/>
          <w:noProof/>
          <w:color w:val="000000"/>
          <w:spacing w:val="150"/>
          <w:sz w:val="27"/>
          <w:szCs w:val="27"/>
          <w:lang w:eastAsia="it-IT"/>
        </w:rPr>
        <w:drawing>
          <wp:inline distT="0" distB="0" distL="0" distR="0" wp14:anchorId="61CAD3AE" wp14:editId="163A2D77">
            <wp:extent cx="723900" cy="8286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828675"/>
                    </a:xfrm>
                    <a:prstGeom prst="rect">
                      <a:avLst/>
                    </a:prstGeom>
                    <a:noFill/>
                    <a:ln>
                      <a:noFill/>
                    </a:ln>
                  </pic:spPr>
                </pic:pic>
              </a:graphicData>
            </a:graphic>
          </wp:inline>
        </w:drawing>
      </w:r>
    </w:p>
    <w:p w14:paraId="6D25ED4A" w14:textId="77777777" w:rsidR="00123BE0" w:rsidRPr="00123BE0" w:rsidRDefault="00123BE0" w:rsidP="00123BE0">
      <w:pPr>
        <w:spacing w:before="100" w:beforeAutospacing="1" w:after="100" w:afterAutospacing="1" w:line="240" w:lineRule="auto"/>
        <w:jc w:val="center"/>
        <w:outlineLvl w:val="1"/>
        <w:rPr>
          <w:rFonts w:ascii="Garamond" w:eastAsia="Times New Roman" w:hAnsi="Garamond" w:cs="Times New Roman"/>
          <w:b/>
          <w:bCs/>
          <w:color w:val="000000"/>
          <w:spacing w:val="150"/>
          <w:kern w:val="36"/>
          <w:sz w:val="24"/>
          <w:szCs w:val="24"/>
          <w:lang w:eastAsia="it-IT"/>
        </w:rPr>
      </w:pPr>
      <w:r w:rsidRPr="00123BE0">
        <w:rPr>
          <w:rFonts w:ascii="Garamond" w:eastAsia="Times New Roman" w:hAnsi="Garamond" w:cs="Times New Roman"/>
          <w:b/>
          <w:bCs/>
          <w:color w:val="000000"/>
          <w:spacing w:val="150"/>
          <w:kern w:val="36"/>
          <w:sz w:val="24"/>
          <w:szCs w:val="24"/>
          <w:lang w:eastAsia="it-IT"/>
        </w:rPr>
        <w:t>REPUBBLICA ITALIANA</w:t>
      </w:r>
    </w:p>
    <w:p w14:paraId="630D24FE" w14:textId="77777777" w:rsidR="00123BE0" w:rsidRPr="00123BE0" w:rsidRDefault="00123BE0" w:rsidP="00123BE0">
      <w:pPr>
        <w:spacing w:before="100" w:beforeAutospacing="1" w:after="100" w:afterAutospacing="1" w:line="240" w:lineRule="auto"/>
        <w:jc w:val="center"/>
        <w:rPr>
          <w:rFonts w:ascii="Garamond" w:eastAsia="Times New Roman" w:hAnsi="Garamond" w:cs="Times New Roman"/>
          <w:b/>
          <w:bCs/>
          <w:color w:val="000000"/>
          <w:lang w:eastAsia="it-IT"/>
        </w:rPr>
      </w:pPr>
      <w:r w:rsidRPr="00123BE0">
        <w:rPr>
          <w:rFonts w:ascii="Garamond" w:eastAsia="Times New Roman" w:hAnsi="Garamond" w:cs="Times New Roman"/>
          <w:b/>
          <w:bCs/>
          <w:color w:val="000000"/>
          <w:lang w:eastAsia="it-IT"/>
        </w:rPr>
        <w:t>IN NOME DEL POPOLO ITALIANO</w:t>
      </w:r>
    </w:p>
    <w:p w14:paraId="0A5120E2" w14:textId="77777777" w:rsidR="00123BE0" w:rsidRPr="00123BE0" w:rsidRDefault="00123BE0" w:rsidP="00123BE0">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123BE0">
        <w:rPr>
          <w:rFonts w:ascii="Garamond" w:eastAsia="Times New Roman" w:hAnsi="Garamond" w:cs="Times New Roman"/>
          <w:b/>
          <w:bCs/>
          <w:color w:val="000000"/>
          <w:sz w:val="26"/>
          <w:szCs w:val="26"/>
          <w:lang w:eastAsia="it-IT"/>
        </w:rPr>
        <w:t>Il Tribunale Amministrativo Regionale per il Lazio</w:t>
      </w:r>
    </w:p>
    <w:p w14:paraId="65673433" w14:textId="77777777" w:rsidR="00123BE0" w:rsidRPr="00123BE0" w:rsidRDefault="00123BE0" w:rsidP="00123BE0">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123BE0">
        <w:rPr>
          <w:rFonts w:ascii="Garamond" w:eastAsia="Times New Roman" w:hAnsi="Garamond" w:cs="Times New Roman"/>
          <w:b/>
          <w:bCs/>
          <w:color w:val="000000"/>
          <w:sz w:val="26"/>
          <w:szCs w:val="26"/>
          <w:lang w:eastAsia="it-IT"/>
        </w:rPr>
        <w:t>(Sezione Seconda Bis)</w:t>
      </w:r>
    </w:p>
    <w:p w14:paraId="434A67E9" w14:textId="77777777" w:rsidR="00123BE0" w:rsidRPr="00123BE0" w:rsidRDefault="00123BE0" w:rsidP="00123BE0">
      <w:pPr>
        <w:spacing w:after="0" w:line="520" w:lineRule="atLeast"/>
        <w:ind w:firstLine="567"/>
        <w:rPr>
          <w:rFonts w:ascii="Garamond" w:eastAsia="Times New Roman" w:hAnsi="Garamond" w:cs="Times New Roman"/>
          <w:color w:val="000000"/>
          <w:sz w:val="30"/>
          <w:szCs w:val="30"/>
          <w:lang w:eastAsia="it-IT"/>
        </w:rPr>
      </w:pPr>
      <w:r w:rsidRPr="00123BE0">
        <w:rPr>
          <w:rFonts w:ascii="Garamond" w:eastAsia="Times New Roman" w:hAnsi="Garamond" w:cs="Times New Roman"/>
          <w:color w:val="000000"/>
          <w:sz w:val="30"/>
          <w:szCs w:val="30"/>
          <w:lang w:eastAsia="it-IT"/>
        </w:rPr>
        <w:t>ha pronunciato la presente</w:t>
      </w:r>
    </w:p>
    <w:p w14:paraId="18813841" w14:textId="77777777" w:rsidR="00123BE0" w:rsidRPr="00123BE0" w:rsidRDefault="00123BE0" w:rsidP="00123BE0">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123BE0">
        <w:rPr>
          <w:rFonts w:ascii="Garamond" w:eastAsia="Times New Roman" w:hAnsi="Garamond" w:cs="Times New Roman"/>
          <w:b/>
          <w:bCs/>
          <w:color w:val="000000"/>
          <w:sz w:val="26"/>
          <w:szCs w:val="26"/>
          <w:lang w:eastAsia="it-IT"/>
        </w:rPr>
        <w:t>SENTENZA</w:t>
      </w:r>
    </w:p>
    <w:p w14:paraId="3057CA97" w14:textId="77777777" w:rsidR="00123BE0" w:rsidRPr="00123BE0" w:rsidRDefault="00123BE0" w:rsidP="00123BE0">
      <w:pPr>
        <w:spacing w:after="0" w:line="520" w:lineRule="atLeast"/>
        <w:jc w:val="both"/>
        <w:rPr>
          <w:rFonts w:ascii="Garamond" w:eastAsia="Times New Roman" w:hAnsi="Garamond" w:cs="Times New Roman"/>
          <w:color w:val="000000"/>
          <w:sz w:val="30"/>
          <w:szCs w:val="30"/>
          <w:lang w:eastAsia="it-IT"/>
        </w:rPr>
      </w:pPr>
      <w:r w:rsidRPr="00123BE0">
        <w:rPr>
          <w:rFonts w:ascii="Garamond" w:eastAsia="Times New Roman" w:hAnsi="Garamond" w:cs="Times New Roman"/>
          <w:color w:val="000000"/>
          <w:sz w:val="30"/>
          <w:szCs w:val="30"/>
          <w:lang w:eastAsia="it-IT"/>
        </w:rPr>
        <w:t>sul ricorso numero di registro generale 5596 del 2019, proposto da</w:t>
      </w:r>
      <w:r w:rsidRPr="00123BE0">
        <w:rPr>
          <w:rFonts w:ascii="Garamond" w:eastAsia="Times New Roman" w:hAnsi="Garamond" w:cs="Times New Roman"/>
          <w:color w:val="000000"/>
          <w:sz w:val="30"/>
          <w:szCs w:val="30"/>
          <w:lang w:eastAsia="it-IT"/>
        </w:rPr>
        <w:br/>
        <w:t>Ceos Cooperativa Educatori Operatori Sociali - Cooperativa Sociale a r.l., in persona del legale rappresentante pro tempore, rappresentata e difesa dall'avvocato Silvia D'Angelo, con domicilio digitale come da PEC da Registri di Giustizia;</w:t>
      </w:r>
    </w:p>
    <w:p w14:paraId="3303C671" w14:textId="77777777" w:rsidR="00123BE0" w:rsidRPr="00123BE0" w:rsidRDefault="00123BE0" w:rsidP="00123BE0">
      <w:pPr>
        <w:spacing w:after="0" w:line="520" w:lineRule="atLeast"/>
        <w:jc w:val="center"/>
        <w:rPr>
          <w:rFonts w:ascii="Garamond" w:eastAsia="Times New Roman" w:hAnsi="Garamond" w:cs="Times New Roman"/>
          <w:b/>
          <w:bCs/>
          <w:i/>
          <w:iCs/>
          <w:color w:val="000000"/>
          <w:sz w:val="30"/>
          <w:szCs w:val="30"/>
          <w:lang w:eastAsia="it-IT"/>
        </w:rPr>
      </w:pPr>
      <w:r w:rsidRPr="00123BE0">
        <w:rPr>
          <w:rFonts w:ascii="Garamond" w:eastAsia="Times New Roman" w:hAnsi="Garamond" w:cs="Times New Roman"/>
          <w:b/>
          <w:bCs/>
          <w:i/>
          <w:iCs/>
          <w:color w:val="000000"/>
          <w:sz w:val="30"/>
          <w:szCs w:val="30"/>
          <w:lang w:eastAsia="it-IT"/>
        </w:rPr>
        <w:t>contro</w:t>
      </w:r>
    </w:p>
    <w:p w14:paraId="32E0B0BF" w14:textId="77777777" w:rsidR="00123BE0" w:rsidRPr="00123BE0" w:rsidRDefault="00123BE0" w:rsidP="00123BE0">
      <w:pPr>
        <w:spacing w:after="0" w:line="520" w:lineRule="atLeast"/>
        <w:jc w:val="both"/>
        <w:rPr>
          <w:rFonts w:ascii="Garamond" w:eastAsia="Times New Roman" w:hAnsi="Garamond" w:cs="Times New Roman"/>
          <w:color w:val="000000"/>
          <w:sz w:val="30"/>
          <w:szCs w:val="30"/>
          <w:lang w:eastAsia="it-IT"/>
        </w:rPr>
      </w:pPr>
      <w:r w:rsidRPr="00123BE0">
        <w:rPr>
          <w:rFonts w:ascii="Garamond" w:eastAsia="Times New Roman" w:hAnsi="Garamond" w:cs="Times New Roman"/>
          <w:color w:val="000000"/>
          <w:sz w:val="30"/>
          <w:szCs w:val="30"/>
          <w:lang w:eastAsia="it-IT"/>
        </w:rPr>
        <w:t>Comune di Anguillara Sabazia, in persona del legale rappresentante pro tempore, rappresentato e difeso dall'avvocato Silvio Crapolicchio, con domicilio digitale come da PEC da Registri di Giustizia e domicilio eletto presso il suo studio in Roma, viale Parioli, n.44;</w:t>
      </w:r>
    </w:p>
    <w:p w14:paraId="70E9651A" w14:textId="77777777" w:rsidR="00123BE0" w:rsidRPr="00123BE0" w:rsidRDefault="00123BE0" w:rsidP="00123BE0">
      <w:pPr>
        <w:spacing w:after="0" w:line="520" w:lineRule="atLeast"/>
        <w:jc w:val="center"/>
        <w:rPr>
          <w:rFonts w:ascii="Garamond" w:eastAsia="Times New Roman" w:hAnsi="Garamond" w:cs="Times New Roman"/>
          <w:b/>
          <w:bCs/>
          <w:i/>
          <w:iCs/>
          <w:color w:val="000000"/>
          <w:sz w:val="30"/>
          <w:szCs w:val="30"/>
          <w:lang w:eastAsia="it-IT"/>
        </w:rPr>
      </w:pPr>
      <w:r w:rsidRPr="00123BE0">
        <w:rPr>
          <w:rFonts w:ascii="Garamond" w:eastAsia="Times New Roman" w:hAnsi="Garamond" w:cs="Times New Roman"/>
          <w:b/>
          <w:bCs/>
          <w:i/>
          <w:iCs/>
          <w:color w:val="000000"/>
          <w:sz w:val="30"/>
          <w:szCs w:val="30"/>
          <w:lang w:eastAsia="it-IT"/>
        </w:rPr>
        <w:t>nei confronti</w:t>
      </w:r>
    </w:p>
    <w:p w14:paraId="44D88EDB" w14:textId="77777777" w:rsidR="00123BE0" w:rsidRPr="00123BE0" w:rsidRDefault="00123BE0" w:rsidP="00123BE0">
      <w:pPr>
        <w:spacing w:after="0" w:line="520" w:lineRule="atLeast"/>
        <w:jc w:val="both"/>
        <w:rPr>
          <w:rFonts w:ascii="Garamond" w:eastAsia="Times New Roman" w:hAnsi="Garamond" w:cs="Times New Roman"/>
          <w:color w:val="000000"/>
          <w:sz w:val="30"/>
          <w:szCs w:val="30"/>
          <w:lang w:eastAsia="it-IT"/>
        </w:rPr>
      </w:pPr>
      <w:r w:rsidRPr="00123BE0">
        <w:rPr>
          <w:rFonts w:ascii="Garamond" w:eastAsia="Times New Roman" w:hAnsi="Garamond" w:cs="Times New Roman"/>
          <w:color w:val="000000"/>
          <w:sz w:val="30"/>
          <w:szCs w:val="30"/>
          <w:lang w:eastAsia="it-IT"/>
        </w:rPr>
        <w:t xml:space="preserve">Area Sociale Cooperativa Sociale Onlus, in persona del legale rappresentante pro tempore, rappresentata e difesa dagli avvocati Angelo Annibali, Marco Orlando, Antonietta Favale, Matteo Valente, con domicilio digitale come da PEC da Registri di Giustizia e domicilio eletto presso lo studio Antonietta Favale in Roma, via </w:t>
      </w:r>
      <w:r w:rsidRPr="00123BE0">
        <w:rPr>
          <w:rFonts w:ascii="Garamond" w:eastAsia="Times New Roman" w:hAnsi="Garamond" w:cs="Times New Roman"/>
          <w:color w:val="000000"/>
          <w:sz w:val="30"/>
          <w:szCs w:val="30"/>
          <w:lang w:eastAsia="it-IT"/>
        </w:rPr>
        <w:lastRenderedPageBreak/>
        <w:t>Virgilio Orsini 19;</w:t>
      </w:r>
      <w:r w:rsidRPr="00123BE0">
        <w:rPr>
          <w:rFonts w:ascii="Garamond" w:eastAsia="Times New Roman" w:hAnsi="Garamond" w:cs="Times New Roman"/>
          <w:color w:val="000000"/>
          <w:sz w:val="30"/>
          <w:szCs w:val="30"/>
          <w:lang w:eastAsia="it-IT"/>
        </w:rPr>
        <w:br/>
        <w:t>Consorzio Valcomino Societa' Cooperativa Sociale a r.l. non costituita in giudizio;</w:t>
      </w:r>
    </w:p>
    <w:p w14:paraId="42ED3D80" w14:textId="77777777" w:rsidR="00123BE0" w:rsidRPr="00123BE0" w:rsidRDefault="00123BE0" w:rsidP="00123BE0">
      <w:pPr>
        <w:spacing w:after="0" w:line="520" w:lineRule="atLeast"/>
        <w:jc w:val="center"/>
        <w:rPr>
          <w:rFonts w:ascii="Garamond" w:eastAsia="Times New Roman" w:hAnsi="Garamond" w:cs="Times New Roman"/>
          <w:b/>
          <w:bCs/>
          <w:i/>
          <w:iCs/>
          <w:color w:val="000000"/>
          <w:sz w:val="30"/>
          <w:szCs w:val="30"/>
          <w:lang w:eastAsia="it-IT"/>
        </w:rPr>
      </w:pPr>
      <w:r w:rsidRPr="00123BE0">
        <w:rPr>
          <w:rFonts w:ascii="Garamond" w:eastAsia="Times New Roman" w:hAnsi="Garamond" w:cs="Times New Roman"/>
          <w:b/>
          <w:bCs/>
          <w:i/>
          <w:iCs/>
          <w:color w:val="000000"/>
          <w:sz w:val="30"/>
          <w:szCs w:val="30"/>
          <w:lang w:eastAsia="it-IT"/>
        </w:rPr>
        <w:t>per l'annullamento,</w:t>
      </w:r>
    </w:p>
    <w:p w14:paraId="225D3E74" w14:textId="77777777" w:rsidR="00123BE0" w:rsidRPr="00123BE0" w:rsidRDefault="00123BE0" w:rsidP="00123BE0">
      <w:pPr>
        <w:spacing w:after="0" w:line="520" w:lineRule="atLeast"/>
        <w:jc w:val="both"/>
        <w:rPr>
          <w:rFonts w:ascii="Garamond" w:eastAsia="Times New Roman" w:hAnsi="Garamond" w:cs="Times New Roman"/>
          <w:color w:val="000000"/>
          <w:sz w:val="30"/>
          <w:szCs w:val="30"/>
          <w:lang w:eastAsia="it-IT"/>
        </w:rPr>
      </w:pPr>
      <w:r w:rsidRPr="00123BE0">
        <w:rPr>
          <w:rFonts w:ascii="Garamond" w:eastAsia="Times New Roman" w:hAnsi="Garamond" w:cs="Times New Roman"/>
          <w:color w:val="000000"/>
          <w:sz w:val="30"/>
          <w:szCs w:val="30"/>
          <w:lang w:eastAsia="it-IT"/>
        </w:rPr>
        <w:t>per quanto riguarda il ricorso introduttivo:</w:t>
      </w:r>
    </w:p>
    <w:p w14:paraId="6E31B1A5" w14:textId="77777777" w:rsidR="00123BE0" w:rsidRPr="00123BE0" w:rsidRDefault="00123BE0" w:rsidP="00123BE0">
      <w:pPr>
        <w:spacing w:after="0" w:line="520" w:lineRule="atLeast"/>
        <w:jc w:val="both"/>
        <w:rPr>
          <w:rFonts w:ascii="Garamond" w:eastAsia="Times New Roman" w:hAnsi="Garamond" w:cs="Times New Roman"/>
          <w:color w:val="000000"/>
          <w:sz w:val="30"/>
          <w:szCs w:val="30"/>
          <w:lang w:eastAsia="it-IT"/>
        </w:rPr>
      </w:pPr>
      <w:r w:rsidRPr="00123BE0">
        <w:rPr>
          <w:rFonts w:ascii="Garamond" w:eastAsia="Times New Roman" w:hAnsi="Garamond" w:cs="Times New Roman"/>
          <w:color w:val="000000"/>
          <w:sz w:val="30"/>
          <w:szCs w:val="30"/>
          <w:lang w:eastAsia="it-IT"/>
        </w:rPr>
        <w:t>della determinazione dirigenziale n. 404 del 12.04.2019 emessa dal Comune di Anguillara Sabazia, notificata in data 12.04.2019, con cui è stata comunicata l'aggiudicazione definitiva del servizio di gestione "polo per la disabilita' cig 781330928f";</w:t>
      </w:r>
    </w:p>
    <w:p w14:paraId="0378E80D" w14:textId="77777777" w:rsidR="00123BE0" w:rsidRPr="00123BE0" w:rsidRDefault="00123BE0" w:rsidP="00123BE0">
      <w:pPr>
        <w:spacing w:after="0" w:line="520" w:lineRule="atLeast"/>
        <w:jc w:val="both"/>
        <w:rPr>
          <w:rFonts w:ascii="Garamond" w:eastAsia="Times New Roman" w:hAnsi="Garamond" w:cs="Times New Roman"/>
          <w:color w:val="000000"/>
          <w:sz w:val="30"/>
          <w:szCs w:val="30"/>
          <w:lang w:eastAsia="it-IT"/>
        </w:rPr>
      </w:pPr>
      <w:r w:rsidRPr="00123BE0">
        <w:rPr>
          <w:rFonts w:ascii="Garamond" w:eastAsia="Times New Roman" w:hAnsi="Garamond" w:cs="Times New Roman"/>
          <w:color w:val="000000"/>
          <w:sz w:val="30"/>
          <w:szCs w:val="30"/>
          <w:lang w:eastAsia="it-IT"/>
        </w:rPr>
        <w:t>del punteggio in concreto assegnato alla Area Sociale Societa' Cooperativa Sociale e del punteggio in concreto assegnato alla ricorrente e conseguente posto nella graduatoria di aggiudicazione;</w:t>
      </w:r>
    </w:p>
    <w:p w14:paraId="506AFDC8" w14:textId="77777777" w:rsidR="00123BE0" w:rsidRPr="00123BE0" w:rsidRDefault="00123BE0" w:rsidP="00123BE0">
      <w:pPr>
        <w:spacing w:after="0" w:line="520" w:lineRule="atLeast"/>
        <w:jc w:val="both"/>
        <w:rPr>
          <w:rFonts w:ascii="Garamond" w:eastAsia="Times New Roman" w:hAnsi="Garamond" w:cs="Times New Roman"/>
          <w:color w:val="000000"/>
          <w:sz w:val="30"/>
          <w:szCs w:val="30"/>
          <w:lang w:eastAsia="it-IT"/>
        </w:rPr>
      </w:pPr>
      <w:r w:rsidRPr="00123BE0">
        <w:rPr>
          <w:rFonts w:ascii="Garamond" w:eastAsia="Times New Roman" w:hAnsi="Garamond" w:cs="Times New Roman"/>
          <w:color w:val="000000"/>
          <w:sz w:val="30"/>
          <w:szCs w:val="30"/>
          <w:lang w:eastAsia="it-IT"/>
        </w:rPr>
        <w:t>Per quanto riguarda il ricorso incidentale presentato da AREA SOCIALE il 10\6\2019:</w:t>
      </w:r>
    </w:p>
    <w:p w14:paraId="3396D14D" w14:textId="77777777" w:rsidR="00123BE0" w:rsidRPr="00123BE0" w:rsidRDefault="00123BE0" w:rsidP="00123BE0">
      <w:pPr>
        <w:spacing w:after="0" w:line="520" w:lineRule="atLeast"/>
        <w:jc w:val="both"/>
        <w:rPr>
          <w:rFonts w:ascii="Garamond" w:eastAsia="Times New Roman" w:hAnsi="Garamond" w:cs="Times New Roman"/>
          <w:color w:val="000000"/>
          <w:sz w:val="30"/>
          <w:szCs w:val="30"/>
          <w:lang w:eastAsia="it-IT"/>
        </w:rPr>
      </w:pPr>
      <w:r w:rsidRPr="00123BE0">
        <w:rPr>
          <w:rFonts w:ascii="Garamond" w:eastAsia="Times New Roman" w:hAnsi="Garamond" w:cs="Times New Roman"/>
          <w:color w:val="000000"/>
          <w:sz w:val="30"/>
          <w:szCs w:val="30"/>
          <w:lang w:eastAsia="it-IT"/>
        </w:rPr>
        <w:t>- dell'invito alla procedura di gara indetta sul MEPA dal Comune di Anguillara Sabazia per l'affidamento del servizio citato alla Ceos Cooperativa, nonostante la stessa sia il gestore uscente del servizio de quo e nonostante il servizio sia del valore sotto la soglia comunitaria;</w:t>
      </w:r>
    </w:p>
    <w:p w14:paraId="3BE8432D" w14:textId="77777777" w:rsidR="00123BE0" w:rsidRPr="00123BE0" w:rsidRDefault="00123BE0" w:rsidP="00123BE0">
      <w:pPr>
        <w:spacing w:after="0" w:line="520" w:lineRule="atLeast"/>
        <w:jc w:val="both"/>
        <w:rPr>
          <w:rFonts w:ascii="Garamond" w:eastAsia="Times New Roman" w:hAnsi="Garamond" w:cs="Times New Roman"/>
          <w:color w:val="000000"/>
          <w:sz w:val="30"/>
          <w:szCs w:val="30"/>
          <w:lang w:eastAsia="it-IT"/>
        </w:rPr>
      </w:pPr>
      <w:r w:rsidRPr="00123BE0">
        <w:rPr>
          <w:rFonts w:ascii="Garamond" w:eastAsia="Times New Roman" w:hAnsi="Garamond" w:cs="Times New Roman"/>
          <w:color w:val="000000"/>
          <w:sz w:val="30"/>
          <w:szCs w:val="30"/>
          <w:lang w:eastAsia="it-IT"/>
        </w:rPr>
        <w:t>- della tenuta in gara della Ceos Cooperativa Educatori Operatori;</w:t>
      </w:r>
    </w:p>
    <w:p w14:paraId="5865E4C5" w14:textId="77777777" w:rsidR="00123BE0" w:rsidRPr="00123BE0" w:rsidRDefault="00123BE0" w:rsidP="00123BE0">
      <w:pPr>
        <w:spacing w:after="0" w:line="520" w:lineRule="atLeast"/>
        <w:jc w:val="both"/>
        <w:rPr>
          <w:rFonts w:ascii="Garamond" w:eastAsia="Times New Roman" w:hAnsi="Garamond" w:cs="Times New Roman"/>
          <w:color w:val="000000"/>
          <w:sz w:val="30"/>
          <w:szCs w:val="30"/>
          <w:lang w:eastAsia="it-IT"/>
        </w:rPr>
      </w:pPr>
      <w:r w:rsidRPr="00123BE0">
        <w:rPr>
          <w:rFonts w:ascii="Garamond" w:eastAsia="Times New Roman" w:hAnsi="Garamond" w:cs="Times New Roman"/>
          <w:color w:val="000000"/>
          <w:sz w:val="30"/>
          <w:szCs w:val="30"/>
          <w:lang w:eastAsia="it-IT"/>
        </w:rPr>
        <w:t>- del provvedimento, sconosciuto negli estremi, con cui è stata ammessa alla gara de qua la Ceos (ivi inclusi i verbali);</w:t>
      </w:r>
    </w:p>
    <w:p w14:paraId="58064816" w14:textId="77777777" w:rsidR="00123BE0" w:rsidRPr="00123BE0" w:rsidRDefault="00123BE0" w:rsidP="00123BE0">
      <w:pPr>
        <w:spacing w:after="0" w:line="520" w:lineRule="atLeast"/>
        <w:jc w:val="both"/>
        <w:rPr>
          <w:rFonts w:ascii="Garamond" w:eastAsia="Times New Roman" w:hAnsi="Garamond" w:cs="Times New Roman"/>
          <w:color w:val="000000"/>
          <w:sz w:val="30"/>
          <w:szCs w:val="30"/>
          <w:lang w:eastAsia="it-IT"/>
        </w:rPr>
      </w:pPr>
      <w:r w:rsidRPr="00123BE0">
        <w:rPr>
          <w:rFonts w:ascii="Garamond" w:eastAsia="Times New Roman" w:hAnsi="Garamond" w:cs="Times New Roman"/>
          <w:color w:val="000000"/>
          <w:sz w:val="30"/>
          <w:szCs w:val="30"/>
          <w:lang w:eastAsia="it-IT"/>
        </w:rPr>
        <w:t>- in parte qua del provvedimento conclusivo della procedura di gara, nel punto in cui, facendo propri gli esiti della procedura, ha ratificato la partecipazione della Ceos alla gara ed inserimento nella graduatoria definitiva.</w:t>
      </w:r>
    </w:p>
    <w:p w14:paraId="04084AC3" w14:textId="77777777" w:rsidR="00123BE0" w:rsidRPr="00123BE0" w:rsidRDefault="00123BE0" w:rsidP="00123BE0">
      <w:pPr>
        <w:spacing w:after="0" w:line="520" w:lineRule="atLeast"/>
        <w:jc w:val="both"/>
        <w:rPr>
          <w:rFonts w:ascii="Garamond" w:eastAsia="Times New Roman" w:hAnsi="Garamond" w:cs="Times New Roman"/>
          <w:color w:val="000000"/>
          <w:sz w:val="30"/>
          <w:szCs w:val="30"/>
          <w:lang w:eastAsia="it-IT"/>
        </w:rPr>
      </w:pPr>
      <w:r w:rsidRPr="00123BE0">
        <w:rPr>
          <w:rFonts w:ascii="Garamond" w:eastAsia="Times New Roman" w:hAnsi="Garamond" w:cs="Times New Roman"/>
          <w:color w:val="000000"/>
          <w:sz w:val="30"/>
          <w:szCs w:val="30"/>
          <w:lang w:eastAsia="it-IT"/>
        </w:rPr>
        <w:t xml:space="preserve">- di ogni atto presupposto, ivi compresa in parte qua, della determina a contrarre e degli atti della progettazione della gara de qua, nella parte in cui, pur senza motivazione e/o solo con motivazione falsa e/o apparente, hanno previsto e/o </w:t>
      </w:r>
      <w:r w:rsidRPr="00123BE0">
        <w:rPr>
          <w:rFonts w:ascii="Garamond" w:eastAsia="Times New Roman" w:hAnsi="Garamond" w:cs="Times New Roman"/>
          <w:color w:val="000000"/>
          <w:sz w:val="30"/>
          <w:szCs w:val="30"/>
          <w:lang w:eastAsia="it-IT"/>
        </w:rPr>
        <w:lastRenderedPageBreak/>
        <w:t>comunque consentito la partecipazione della Ceos alla gara de qua, nonostante la stessa sia il gestore uscente;</w:t>
      </w:r>
    </w:p>
    <w:p w14:paraId="4D28DB5A" w14:textId="77777777" w:rsidR="00123BE0" w:rsidRPr="00123BE0" w:rsidRDefault="00123BE0" w:rsidP="00123BE0">
      <w:pPr>
        <w:spacing w:after="0" w:line="240" w:lineRule="auto"/>
        <w:rPr>
          <w:rFonts w:ascii="Times New Roman" w:eastAsia="Times New Roman" w:hAnsi="Times New Roman" w:cs="Times New Roman"/>
          <w:sz w:val="24"/>
          <w:szCs w:val="24"/>
          <w:lang w:eastAsia="it-IT"/>
        </w:rPr>
      </w:pPr>
      <w:r w:rsidRPr="00123BE0">
        <w:rPr>
          <w:rFonts w:ascii="Times New Roman" w:eastAsia="Times New Roman" w:hAnsi="Times New Roman" w:cs="Times New Roman"/>
          <w:color w:val="000000"/>
          <w:sz w:val="27"/>
          <w:szCs w:val="27"/>
          <w:lang w:eastAsia="it-IT"/>
        </w:rPr>
        <w:br/>
      </w:r>
    </w:p>
    <w:p w14:paraId="3373F499" w14:textId="77777777" w:rsidR="00123BE0" w:rsidRPr="00123BE0" w:rsidRDefault="00123BE0" w:rsidP="00123BE0">
      <w:pPr>
        <w:spacing w:after="0" w:line="520" w:lineRule="atLeast"/>
        <w:jc w:val="both"/>
        <w:rPr>
          <w:rFonts w:ascii="Garamond" w:eastAsia="Times New Roman" w:hAnsi="Garamond" w:cs="Times New Roman"/>
          <w:color w:val="000000"/>
          <w:sz w:val="30"/>
          <w:szCs w:val="30"/>
          <w:lang w:eastAsia="it-IT"/>
        </w:rPr>
      </w:pPr>
      <w:r w:rsidRPr="00123BE0">
        <w:rPr>
          <w:rFonts w:ascii="Garamond" w:eastAsia="Times New Roman" w:hAnsi="Garamond" w:cs="Times New Roman"/>
          <w:color w:val="000000"/>
          <w:sz w:val="30"/>
          <w:szCs w:val="30"/>
          <w:lang w:eastAsia="it-IT"/>
        </w:rPr>
        <w:t>Visti il ricorso e i relativi allegati;</w:t>
      </w:r>
    </w:p>
    <w:p w14:paraId="027B5073" w14:textId="77777777" w:rsidR="00123BE0" w:rsidRPr="00123BE0" w:rsidRDefault="00123BE0" w:rsidP="00123BE0">
      <w:pPr>
        <w:spacing w:after="0" w:line="520" w:lineRule="atLeast"/>
        <w:jc w:val="both"/>
        <w:rPr>
          <w:rFonts w:ascii="Garamond" w:eastAsia="Times New Roman" w:hAnsi="Garamond" w:cs="Times New Roman"/>
          <w:color w:val="000000"/>
          <w:sz w:val="30"/>
          <w:szCs w:val="30"/>
          <w:lang w:eastAsia="it-IT"/>
        </w:rPr>
      </w:pPr>
      <w:r w:rsidRPr="00123BE0">
        <w:rPr>
          <w:rFonts w:ascii="Garamond" w:eastAsia="Times New Roman" w:hAnsi="Garamond" w:cs="Times New Roman"/>
          <w:color w:val="000000"/>
          <w:sz w:val="30"/>
          <w:szCs w:val="30"/>
          <w:lang w:eastAsia="it-IT"/>
        </w:rPr>
        <w:t>Visti gli atti di costituzione in giudizio di Area Sociale Cooperativa Sociale Onlus e di Comune di Anguillara Sabazia;</w:t>
      </w:r>
    </w:p>
    <w:p w14:paraId="4FCA0E76" w14:textId="77777777" w:rsidR="00123BE0" w:rsidRPr="00123BE0" w:rsidRDefault="00123BE0" w:rsidP="00123BE0">
      <w:pPr>
        <w:spacing w:after="0" w:line="520" w:lineRule="atLeast"/>
        <w:jc w:val="both"/>
        <w:rPr>
          <w:rFonts w:ascii="Garamond" w:eastAsia="Times New Roman" w:hAnsi="Garamond" w:cs="Times New Roman"/>
          <w:color w:val="000000"/>
          <w:sz w:val="30"/>
          <w:szCs w:val="30"/>
          <w:lang w:eastAsia="it-IT"/>
        </w:rPr>
      </w:pPr>
      <w:r w:rsidRPr="00123BE0">
        <w:rPr>
          <w:rFonts w:ascii="Garamond" w:eastAsia="Times New Roman" w:hAnsi="Garamond" w:cs="Times New Roman"/>
          <w:color w:val="000000"/>
          <w:sz w:val="30"/>
          <w:szCs w:val="30"/>
          <w:lang w:eastAsia="it-IT"/>
        </w:rPr>
        <w:t>Visti tutti gli atti della causa;</w:t>
      </w:r>
    </w:p>
    <w:p w14:paraId="1599B80A" w14:textId="77777777" w:rsidR="00123BE0" w:rsidRPr="00123BE0" w:rsidRDefault="00123BE0" w:rsidP="00123BE0">
      <w:pPr>
        <w:spacing w:after="0" w:line="520" w:lineRule="atLeast"/>
        <w:jc w:val="both"/>
        <w:rPr>
          <w:rFonts w:ascii="Garamond" w:eastAsia="Times New Roman" w:hAnsi="Garamond" w:cs="Times New Roman"/>
          <w:color w:val="000000"/>
          <w:sz w:val="30"/>
          <w:szCs w:val="30"/>
          <w:lang w:eastAsia="it-IT"/>
        </w:rPr>
      </w:pPr>
      <w:r w:rsidRPr="00123BE0">
        <w:rPr>
          <w:rFonts w:ascii="Garamond" w:eastAsia="Times New Roman" w:hAnsi="Garamond" w:cs="Times New Roman"/>
          <w:color w:val="000000"/>
          <w:sz w:val="30"/>
          <w:szCs w:val="30"/>
          <w:lang w:eastAsia="it-IT"/>
        </w:rPr>
        <w:t>Visti gli artt. 74 e 120, co. 10, cod. proc. amm.;</w:t>
      </w:r>
    </w:p>
    <w:p w14:paraId="453602B7" w14:textId="77777777" w:rsidR="00123BE0" w:rsidRPr="00123BE0" w:rsidRDefault="00123BE0" w:rsidP="00123BE0">
      <w:pPr>
        <w:spacing w:after="0" w:line="520" w:lineRule="atLeast"/>
        <w:jc w:val="both"/>
        <w:rPr>
          <w:rFonts w:ascii="Garamond" w:eastAsia="Times New Roman" w:hAnsi="Garamond" w:cs="Times New Roman"/>
          <w:color w:val="000000"/>
          <w:sz w:val="30"/>
          <w:szCs w:val="30"/>
          <w:lang w:eastAsia="it-IT"/>
        </w:rPr>
      </w:pPr>
      <w:r w:rsidRPr="00123BE0">
        <w:rPr>
          <w:rFonts w:ascii="Garamond" w:eastAsia="Times New Roman" w:hAnsi="Garamond" w:cs="Times New Roman"/>
          <w:color w:val="000000"/>
          <w:sz w:val="30"/>
          <w:szCs w:val="30"/>
          <w:lang w:eastAsia="it-IT"/>
        </w:rPr>
        <w:t>Relatore nell'udienza pubblica del giorno 15 ottobre 2019 il dott. Dauno Trebastoni e uditi per le parti i difensori come specificato nel verbale;</w:t>
      </w:r>
    </w:p>
    <w:p w14:paraId="44131154" w14:textId="77777777" w:rsidR="00123BE0" w:rsidRPr="00123BE0" w:rsidRDefault="00123BE0" w:rsidP="00123BE0">
      <w:pPr>
        <w:spacing w:after="0" w:line="520" w:lineRule="atLeast"/>
        <w:jc w:val="both"/>
        <w:rPr>
          <w:rFonts w:ascii="Garamond" w:eastAsia="Times New Roman" w:hAnsi="Garamond" w:cs="Times New Roman"/>
          <w:color w:val="000000"/>
          <w:sz w:val="30"/>
          <w:szCs w:val="30"/>
          <w:lang w:eastAsia="it-IT"/>
        </w:rPr>
      </w:pPr>
      <w:r w:rsidRPr="00123BE0">
        <w:rPr>
          <w:rFonts w:ascii="Garamond" w:eastAsia="Times New Roman" w:hAnsi="Garamond" w:cs="Times New Roman"/>
          <w:color w:val="000000"/>
          <w:sz w:val="30"/>
          <w:szCs w:val="30"/>
          <w:lang w:eastAsia="it-IT"/>
        </w:rPr>
        <w:t>Ritenuto e considerato in fatto e diritto quanto segue.</w:t>
      </w:r>
    </w:p>
    <w:p w14:paraId="2A8C9E1B" w14:textId="77777777" w:rsidR="00123BE0" w:rsidRPr="00123BE0" w:rsidRDefault="00123BE0" w:rsidP="00123BE0">
      <w:pPr>
        <w:spacing w:after="0" w:line="240" w:lineRule="auto"/>
        <w:rPr>
          <w:rFonts w:ascii="Times New Roman" w:eastAsia="Times New Roman" w:hAnsi="Times New Roman" w:cs="Times New Roman"/>
          <w:sz w:val="24"/>
          <w:szCs w:val="24"/>
          <w:lang w:eastAsia="it-IT"/>
        </w:rPr>
      </w:pPr>
      <w:r w:rsidRPr="00123BE0">
        <w:rPr>
          <w:rFonts w:ascii="Times New Roman" w:eastAsia="Times New Roman" w:hAnsi="Times New Roman" w:cs="Times New Roman"/>
          <w:color w:val="000000"/>
          <w:sz w:val="27"/>
          <w:szCs w:val="27"/>
          <w:lang w:eastAsia="it-IT"/>
        </w:rPr>
        <w:br/>
      </w:r>
    </w:p>
    <w:p w14:paraId="6F9A3C6F" w14:textId="77777777" w:rsidR="00123BE0" w:rsidRPr="00123BE0" w:rsidRDefault="00123BE0" w:rsidP="00123BE0">
      <w:pPr>
        <w:spacing w:after="0" w:line="540" w:lineRule="atLeast"/>
        <w:jc w:val="center"/>
        <w:rPr>
          <w:rFonts w:ascii="Garamond" w:eastAsia="Times New Roman" w:hAnsi="Garamond" w:cs="Times New Roman"/>
          <w:color w:val="000000"/>
          <w:sz w:val="30"/>
          <w:szCs w:val="30"/>
          <w:lang w:eastAsia="it-IT"/>
        </w:rPr>
      </w:pPr>
      <w:r w:rsidRPr="00123BE0">
        <w:rPr>
          <w:rFonts w:ascii="Garamond" w:eastAsia="Times New Roman" w:hAnsi="Garamond" w:cs="Times New Roman"/>
          <w:color w:val="000000"/>
          <w:sz w:val="30"/>
          <w:szCs w:val="30"/>
          <w:lang w:eastAsia="it-IT"/>
        </w:rPr>
        <w:t>FATTO e DIRITTO</w:t>
      </w:r>
    </w:p>
    <w:p w14:paraId="0B0D6B3C" w14:textId="77777777" w:rsidR="00123BE0" w:rsidRPr="00123BE0" w:rsidRDefault="00123BE0" w:rsidP="00123BE0">
      <w:pPr>
        <w:spacing w:after="0" w:line="520" w:lineRule="atLeast"/>
        <w:jc w:val="both"/>
        <w:rPr>
          <w:rFonts w:ascii="Garamond" w:eastAsia="Times New Roman" w:hAnsi="Garamond" w:cs="Times New Roman"/>
          <w:color w:val="000000"/>
          <w:sz w:val="30"/>
          <w:szCs w:val="30"/>
          <w:lang w:eastAsia="it-IT"/>
        </w:rPr>
      </w:pPr>
      <w:r w:rsidRPr="00123BE0">
        <w:rPr>
          <w:rFonts w:ascii="Garamond" w:eastAsia="Times New Roman" w:hAnsi="Garamond" w:cs="Times New Roman"/>
          <w:color w:val="000000"/>
          <w:sz w:val="30"/>
          <w:szCs w:val="30"/>
          <w:lang w:eastAsia="it-IT"/>
        </w:rPr>
        <w:t>La ricorrente, che è la ditta che gestisce in atto il servizio di Gestione del "Polo per la disabilità", ha impugnato gli atti con cui il nuovo appalto è stato aggiudicato alla controinteressata.</w:t>
      </w:r>
    </w:p>
    <w:p w14:paraId="1CD7887C" w14:textId="77777777" w:rsidR="00123BE0" w:rsidRPr="00123BE0" w:rsidRDefault="00123BE0" w:rsidP="00123BE0">
      <w:pPr>
        <w:spacing w:after="0" w:line="240" w:lineRule="auto"/>
        <w:rPr>
          <w:rFonts w:ascii="Times New Roman" w:eastAsia="Times New Roman" w:hAnsi="Times New Roman" w:cs="Times New Roman"/>
          <w:sz w:val="24"/>
          <w:szCs w:val="24"/>
          <w:lang w:eastAsia="it-IT"/>
        </w:rPr>
      </w:pPr>
      <w:r w:rsidRPr="00123BE0">
        <w:rPr>
          <w:rFonts w:ascii="Times New Roman" w:eastAsia="Times New Roman" w:hAnsi="Times New Roman" w:cs="Times New Roman"/>
          <w:color w:val="000000"/>
          <w:sz w:val="27"/>
          <w:szCs w:val="27"/>
          <w:lang w:eastAsia="it-IT"/>
        </w:rPr>
        <w:br/>
      </w:r>
    </w:p>
    <w:p w14:paraId="139BAC8E" w14:textId="77777777" w:rsidR="00123BE0" w:rsidRPr="00123BE0" w:rsidRDefault="00123BE0" w:rsidP="00123BE0">
      <w:pPr>
        <w:spacing w:after="0" w:line="240" w:lineRule="auto"/>
        <w:rPr>
          <w:rFonts w:ascii="Times New Roman" w:eastAsia="Times New Roman" w:hAnsi="Times New Roman" w:cs="Times New Roman"/>
          <w:sz w:val="24"/>
          <w:szCs w:val="24"/>
          <w:lang w:eastAsia="it-IT"/>
        </w:rPr>
      </w:pPr>
      <w:r w:rsidRPr="00123BE0">
        <w:rPr>
          <w:rFonts w:ascii="Times New Roman" w:eastAsia="Times New Roman" w:hAnsi="Times New Roman" w:cs="Times New Roman"/>
          <w:color w:val="000000"/>
          <w:sz w:val="27"/>
          <w:szCs w:val="27"/>
          <w:lang w:eastAsia="it-IT"/>
        </w:rPr>
        <w:br/>
      </w:r>
    </w:p>
    <w:p w14:paraId="56377D34" w14:textId="77777777" w:rsidR="00123BE0" w:rsidRPr="00123BE0" w:rsidRDefault="00123BE0" w:rsidP="00123BE0">
      <w:pPr>
        <w:spacing w:after="0" w:line="520" w:lineRule="atLeast"/>
        <w:jc w:val="both"/>
        <w:rPr>
          <w:rFonts w:ascii="Garamond" w:eastAsia="Times New Roman" w:hAnsi="Garamond" w:cs="Times New Roman"/>
          <w:color w:val="000000"/>
          <w:sz w:val="30"/>
          <w:szCs w:val="30"/>
          <w:lang w:eastAsia="it-IT"/>
        </w:rPr>
      </w:pPr>
      <w:r w:rsidRPr="00123BE0">
        <w:rPr>
          <w:rFonts w:ascii="Garamond" w:eastAsia="Times New Roman" w:hAnsi="Garamond" w:cs="Times New Roman"/>
          <w:color w:val="000000"/>
          <w:sz w:val="30"/>
          <w:szCs w:val="30"/>
          <w:lang w:eastAsia="it-IT"/>
        </w:rPr>
        <w:t>Con ordinanza n. 4034 del 18.06.2019 questa Sezione ha rigettato l’istanza cautelare, “considerato che, a una valutazione sommaria propria della fase cautelare, il ricorso principale appare infondato, perché: dagli atti di gara risulta che questa non è stata aggiudicata per un importo maggiore di quello previsto; la commissione non risulta illegittimamente formata; e le censure relative all’offerta tecnica impingono nell’area del merito amministrativo, che in questo caso il Collegio non ritiene sindacabile, apparendo immune da irragionevolezza”.</w:t>
      </w:r>
    </w:p>
    <w:p w14:paraId="29CB27E2" w14:textId="77777777" w:rsidR="00123BE0" w:rsidRPr="00123BE0" w:rsidRDefault="00123BE0" w:rsidP="00123BE0">
      <w:pPr>
        <w:spacing w:after="0" w:line="520" w:lineRule="atLeast"/>
        <w:jc w:val="both"/>
        <w:rPr>
          <w:rFonts w:ascii="Garamond" w:eastAsia="Times New Roman" w:hAnsi="Garamond" w:cs="Times New Roman"/>
          <w:color w:val="000000"/>
          <w:sz w:val="30"/>
          <w:szCs w:val="30"/>
          <w:lang w:eastAsia="it-IT"/>
        </w:rPr>
      </w:pPr>
      <w:r w:rsidRPr="00123BE0">
        <w:rPr>
          <w:rFonts w:ascii="Garamond" w:eastAsia="Times New Roman" w:hAnsi="Garamond" w:cs="Times New Roman"/>
          <w:color w:val="000000"/>
          <w:sz w:val="30"/>
          <w:szCs w:val="30"/>
          <w:lang w:eastAsia="it-IT"/>
        </w:rPr>
        <w:t>Alla pubblica udienza del 15.10.2019 la causa è stata posta in decisione.</w:t>
      </w:r>
    </w:p>
    <w:p w14:paraId="71C5C378" w14:textId="77777777" w:rsidR="00123BE0" w:rsidRPr="00123BE0" w:rsidRDefault="00123BE0" w:rsidP="00123BE0">
      <w:pPr>
        <w:spacing w:after="0" w:line="520" w:lineRule="atLeast"/>
        <w:jc w:val="both"/>
        <w:rPr>
          <w:rFonts w:ascii="Garamond" w:eastAsia="Times New Roman" w:hAnsi="Garamond" w:cs="Times New Roman"/>
          <w:color w:val="000000"/>
          <w:sz w:val="30"/>
          <w:szCs w:val="30"/>
          <w:lang w:eastAsia="it-IT"/>
        </w:rPr>
      </w:pPr>
      <w:r w:rsidRPr="00123BE0">
        <w:rPr>
          <w:rFonts w:ascii="Garamond" w:eastAsia="Times New Roman" w:hAnsi="Garamond" w:cs="Times New Roman"/>
          <w:color w:val="000000"/>
          <w:sz w:val="30"/>
          <w:szCs w:val="30"/>
          <w:lang w:eastAsia="it-IT"/>
        </w:rPr>
        <w:lastRenderedPageBreak/>
        <w:t>In quella occasione, l’avvocato della ricorrente, in considerazione dell’avvenuto affidamento del servizio, ha rinunciato all’annullamento dell’aggiudicazione, e ha insistito solo per il risarcimento per equivalente e per le spese di giudizio, da distrarsi in suo favore.</w:t>
      </w:r>
    </w:p>
    <w:p w14:paraId="4AE8BF8A" w14:textId="77777777" w:rsidR="00123BE0" w:rsidRPr="00123BE0" w:rsidRDefault="00123BE0" w:rsidP="00123BE0">
      <w:pPr>
        <w:spacing w:after="0" w:line="520" w:lineRule="atLeast"/>
        <w:jc w:val="both"/>
        <w:rPr>
          <w:rFonts w:ascii="Garamond" w:eastAsia="Times New Roman" w:hAnsi="Garamond" w:cs="Times New Roman"/>
          <w:color w:val="000000"/>
          <w:sz w:val="30"/>
          <w:szCs w:val="30"/>
          <w:lang w:eastAsia="it-IT"/>
        </w:rPr>
      </w:pPr>
      <w:r w:rsidRPr="00123BE0">
        <w:rPr>
          <w:rFonts w:ascii="Garamond" w:eastAsia="Times New Roman" w:hAnsi="Garamond" w:cs="Times New Roman"/>
          <w:color w:val="000000"/>
          <w:sz w:val="30"/>
          <w:szCs w:val="30"/>
          <w:lang w:eastAsia="it-IT"/>
        </w:rPr>
        <w:t>Il ricorso è infondato, e va pertanto rigettato.</w:t>
      </w:r>
    </w:p>
    <w:p w14:paraId="5E08EF2B" w14:textId="77777777" w:rsidR="00123BE0" w:rsidRPr="00123BE0" w:rsidRDefault="00123BE0" w:rsidP="00123BE0">
      <w:pPr>
        <w:spacing w:after="0" w:line="520" w:lineRule="atLeast"/>
        <w:jc w:val="both"/>
        <w:rPr>
          <w:rFonts w:ascii="Garamond" w:eastAsia="Times New Roman" w:hAnsi="Garamond" w:cs="Times New Roman"/>
          <w:color w:val="000000"/>
          <w:sz w:val="30"/>
          <w:szCs w:val="30"/>
          <w:lang w:eastAsia="it-IT"/>
        </w:rPr>
      </w:pPr>
      <w:r w:rsidRPr="00123BE0">
        <w:rPr>
          <w:rFonts w:ascii="Garamond" w:eastAsia="Times New Roman" w:hAnsi="Garamond" w:cs="Times New Roman"/>
          <w:color w:val="000000"/>
          <w:sz w:val="30"/>
          <w:szCs w:val="30"/>
          <w:lang w:eastAsia="it-IT"/>
        </w:rPr>
        <w:t>1) Con il primo motivo, la ricorrente lamenta il fatto che il Comune intimato ha dapprima indicato quale valore del nuovo appalto l'importo di € 387.501,39 – specificandolo sia nella Determina Dirigenziale n. 1619 dell'11.12.2018 che nell'avviso esplorativo per manifestazione di interesse a partecipare, pubblicato il 12.12.2018 e rivolto a tutti gli operatori del settore – e poi ha aggiudicato il servizio in questione al prezzo superiore di € 402.182,95.</w:t>
      </w:r>
    </w:p>
    <w:p w14:paraId="17CC1CE4" w14:textId="77777777" w:rsidR="00123BE0" w:rsidRPr="00123BE0" w:rsidRDefault="00123BE0" w:rsidP="00123BE0">
      <w:pPr>
        <w:spacing w:after="0" w:line="520" w:lineRule="atLeast"/>
        <w:jc w:val="both"/>
        <w:rPr>
          <w:rFonts w:ascii="Garamond" w:eastAsia="Times New Roman" w:hAnsi="Garamond" w:cs="Times New Roman"/>
          <w:color w:val="000000"/>
          <w:sz w:val="30"/>
          <w:szCs w:val="30"/>
          <w:lang w:eastAsia="it-IT"/>
        </w:rPr>
      </w:pPr>
      <w:r w:rsidRPr="00123BE0">
        <w:rPr>
          <w:rFonts w:ascii="Garamond" w:eastAsia="Times New Roman" w:hAnsi="Garamond" w:cs="Times New Roman"/>
          <w:color w:val="000000"/>
          <w:sz w:val="30"/>
          <w:szCs w:val="30"/>
          <w:lang w:eastAsia="it-IT"/>
        </w:rPr>
        <w:t>C’è però da dire che nella Determinazione a contrarre – Registro Generale n. 237 del 06.03.2019, di indizione della “procedura negoziata” de qua, viene “dato atto che l’importo stimato del servizio da appaltare per la durata di 3 (tre) anni, ricompreso nei servizi elencati all’allegato IX, ammonta a € 430.879,53 IVA esclusa […]”; detto importo è poi riconfermato anche nel quadro economico di spesa riportato a pag. 5 della Determinazione medesima.</w:t>
      </w:r>
    </w:p>
    <w:p w14:paraId="0C7D0942" w14:textId="77777777" w:rsidR="00123BE0" w:rsidRPr="00123BE0" w:rsidRDefault="00123BE0" w:rsidP="00123BE0">
      <w:pPr>
        <w:spacing w:after="0" w:line="520" w:lineRule="atLeast"/>
        <w:jc w:val="both"/>
        <w:rPr>
          <w:rFonts w:ascii="Garamond" w:eastAsia="Times New Roman" w:hAnsi="Garamond" w:cs="Times New Roman"/>
          <w:color w:val="000000"/>
          <w:sz w:val="30"/>
          <w:szCs w:val="30"/>
          <w:lang w:eastAsia="it-IT"/>
        </w:rPr>
      </w:pPr>
      <w:r w:rsidRPr="00123BE0">
        <w:rPr>
          <w:rFonts w:ascii="Garamond" w:eastAsia="Times New Roman" w:hAnsi="Garamond" w:cs="Times New Roman"/>
          <w:color w:val="000000"/>
          <w:sz w:val="30"/>
          <w:szCs w:val="30"/>
          <w:lang w:eastAsia="it-IT"/>
        </w:rPr>
        <w:t>E all’art. 3 della Lettera di invito, successiva alla citata determina, alla voce “Valore dell’appalto”, si legge: “importo complessivo stimato (calcolato per il numero attuale (8) di utenti gravi e per il numero minimo (7) di utenti medio/lievi, e di circa (20) minori disabili per il periodo estivo) per il periodo di affidamento € 430.879,53 (€ 718.132,55 in caso di rinnovo per ulteriori 2 anni) al netto di IVA di legge (importo annuo € 143.626,51) […]”.</w:t>
      </w:r>
    </w:p>
    <w:p w14:paraId="33D8E5D2" w14:textId="77777777" w:rsidR="00123BE0" w:rsidRPr="00123BE0" w:rsidRDefault="00123BE0" w:rsidP="00123BE0">
      <w:pPr>
        <w:spacing w:after="0" w:line="520" w:lineRule="atLeast"/>
        <w:jc w:val="both"/>
        <w:rPr>
          <w:rFonts w:ascii="Garamond" w:eastAsia="Times New Roman" w:hAnsi="Garamond" w:cs="Times New Roman"/>
          <w:color w:val="000000"/>
          <w:sz w:val="30"/>
          <w:szCs w:val="30"/>
          <w:lang w:eastAsia="it-IT"/>
        </w:rPr>
      </w:pPr>
      <w:r w:rsidRPr="00123BE0">
        <w:rPr>
          <w:rFonts w:ascii="Garamond" w:eastAsia="Times New Roman" w:hAnsi="Garamond" w:cs="Times New Roman"/>
          <w:color w:val="000000"/>
          <w:sz w:val="30"/>
          <w:szCs w:val="30"/>
          <w:lang w:eastAsia="it-IT"/>
        </w:rPr>
        <w:t>Il minor importo di € 387.501,39 è rinvenibile solo nell’articolo 5 del Capitolato speciale d’appalto e nell’avviso esplorativo per manifestazione di interesse.</w:t>
      </w:r>
    </w:p>
    <w:p w14:paraId="22F56FA6" w14:textId="77777777" w:rsidR="00123BE0" w:rsidRPr="00123BE0" w:rsidRDefault="00123BE0" w:rsidP="00123BE0">
      <w:pPr>
        <w:spacing w:after="0" w:line="520" w:lineRule="atLeast"/>
        <w:jc w:val="both"/>
        <w:rPr>
          <w:rFonts w:ascii="Garamond" w:eastAsia="Times New Roman" w:hAnsi="Garamond" w:cs="Times New Roman"/>
          <w:color w:val="000000"/>
          <w:sz w:val="30"/>
          <w:szCs w:val="30"/>
          <w:lang w:eastAsia="it-IT"/>
        </w:rPr>
      </w:pPr>
      <w:r w:rsidRPr="00123BE0">
        <w:rPr>
          <w:rFonts w:ascii="Garamond" w:eastAsia="Times New Roman" w:hAnsi="Garamond" w:cs="Times New Roman"/>
          <w:color w:val="000000"/>
          <w:sz w:val="30"/>
          <w:szCs w:val="30"/>
          <w:lang w:eastAsia="it-IT"/>
        </w:rPr>
        <w:t xml:space="preserve">Sul punto, vale la pena rammentare che il Capitolato speciale d’appalto costituisce, com’è noto, un allegato del Bando di gara (cui è assimilabile – nella procedura </w:t>
      </w:r>
      <w:r w:rsidRPr="00123BE0">
        <w:rPr>
          <w:rFonts w:ascii="Garamond" w:eastAsia="Times New Roman" w:hAnsi="Garamond" w:cs="Times New Roman"/>
          <w:color w:val="000000"/>
          <w:sz w:val="30"/>
          <w:szCs w:val="30"/>
          <w:lang w:eastAsia="it-IT"/>
        </w:rPr>
        <w:lastRenderedPageBreak/>
        <w:t>negoziata previa consultazione – la Lettera di invito); e in ipotesi di contrasto tra Bando di gara e Capitolato speciale o disciplinare di gara, deve darsi prevalenza alle indicazioni contenute esclusivamente nel primo, anche in conformità al costante orientamento giurisprudenziale, che questo Collegio condivide, secondo cui in caso di eventuali contrasti interni tra le singole previsioni, quel che assume prevalenza è il contenuto del bando di gara, in quanto le previsioni del capitolato speciale e del disciplinare possono soltanto integrare, ma non modificare, quelle poste dal bando (cfr., ex multis, Cons. St., sez. III, 10/06/2016 n. 2497).</w:t>
      </w:r>
    </w:p>
    <w:p w14:paraId="3CC8FC49" w14:textId="77777777" w:rsidR="00123BE0" w:rsidRPr="00123BE0" w:rsidRDefault="00123BE0" w:rsidP="00123BE0">
      <w:pPr>
        <w:spacing w:after="0" w:line="520" w:lineRule="atLeast"/>
        <w:jc w:val="both"/>
        <w:rPr>
          <w:rFonts w:ascii="Garamond" w:eastAsia="Times New Roman" w:hAnsi="Garamond" w:cs="Times New Roman"/>
          <w:color w:val="000000"/>
          <w:sz w:val="30"/>
          <w:szCs w:val="30"/>
          <w:lang w:eastAsia="it-IT"/>
        </w:rPr>
      </w:pPr>
      <w:r w:rsidRPr="00123BE0">
        <w:rPr>
          <w:rFonts w:ascii="Garamond" w:eastAsia="Times New Roman" w:hAnsi="Garamond" w:cs="Times New Roman"/>
          <w:color w:val="000000"/>
          <w:sz w:val="30"/>
          <w:szCs w:val="30"/>
          <w:lang w:eastAsia="it-IT"/>
        </w:rPr>
        <w:t>Ora, l’art. 6 della lettera di invito, nel punto in cui descriveva le modalità per la formulazione dell’offerta economica, prescriveva che l’offerta economica doveva essere “espressa esclusivamente come ribasso percentuale sul costo mensile (nel caso di attività per disabili gravi e disabili medio (lievi) e annuo (nel caso dei Centri Estivi per minori disabili) (da intendersi UNICO per tutti i servizi)”, e “redatta utilizzando il facsimile- Allegato "A3"…”.</w:t>
      </w:r>
    </w:p>
    <w:p w14:paraId="05835337" w14:textId="77777777" w:rsidR="00123BE0" w:rsidRPr="00123BE0" w:rsidRDefault="00123BE0" w:rsidP="00123BE0">
      <w:pPr>
        <w:spacing w:after="0" w:line="520" w:lineRule="atLeast"/>
        <w:jc w:val="both"/>
        <w:rPr>
          <w:rFonts w:ascii="Garamond" w:eastAsia="Times New Roman" w:hAnsi="Garamond" w:cs="Times New Roman"/>
          <w:color w:val="000000"/>
          <w:sz w:val="30"/>
          <w:szCs w:val="30"/>
          <w:lang w:eastAsia="it-IT"/>
        </w:rPr>
      </w:pPr>
      <w:r w:rsidRPr="00123BE0">
        <w:rPr>
          <w:rFonts w:ascii="Garamond" w:eastAsia="Times New Roman" w:hAnsi="Garamond" w:cs="Times New Roman"/>
          <w:color w:val="000000"/>
          <w:sz w:val="30"/>
          <w:szCs w:val="30"/>
          <w:lang w:eastAsia="it-IT"/>
        </w:rPr>
        <w:t>Come risulta dall’offerta economica presentata, la controinteressata ha offerto una “percentuale di ribasso unica per tutti i servizi” del 6,66%, che applicata all’importo, posto a base di gara, di € 430.879,53, determina l’importo di € € 402.182,95, cioè quello al quale il servizio è stato aggiudicato alla controinteressata.</w:t>
      </w:r>
    </w:p>
    <w:p w14:paraId="1A1C1E87" w14:textId="77777777" w:rsidR="00123BE0" w:rsidRPr="00123BE0" w:rsidRDefault="00123BE0" w:rsidP="00123BE0">
      <w:pPr>
        <w:spacing w:after="0" w:line="520" w:lineRule="atLeast"/>
        <w:jc w:val="both"/>
        <w:rPr>
          <w:rFonts w:ascii="Garamond" w:eastAsia="Times New Roman" w:hAnsi="Garamond" w:cs="Times New Roman"/>
          <w:color w:val="000000"/>
          <w:sz w:val="30"/>
          <w:szCs w:val="30"/>
          <w:lang w:eastAsia="it-IT"/>
        </w:rPr>
      </w:pPr>
      <w:r w:rsidRPr="00123BE0">
        <w:rPr>
          <w:rFonts w:ascii="Garamond" w:eastAsia="Times New Roman" w:hAnsi="Garamond" w:cs="Times New Roman"/>
          <w:color w:val="000000"/>
          <w:sz w:val="30"/>
          <w:szCs w:val="30"/>
          <w:lang w:eastAsia="it-IT"/>
        </w:rPr>
        <w:t>2) Con il secondo motivo, la ricorrente sostiene che i profili professionali dei componenti della Commissione di gara “non soddisfano i requisiti di competenza nel settore dei servizi sociali, né tanto meno quelli di esperienza pluriennale maturata nel delicatissimo e sensibile servizio oggetto dell'appalto”.</w:t>
      </w:r>
    </w:p>
    <w:p w14:paraId="43CBE7B3" w14:textId="77777777" w:rsidR="00123BE0" w:rsidRPr="00123BE0" w:rsidRDefault="00123BE0" w:rsidP="00123BE0">
      <w:pPr>
        <w:spacing w:after="0" w:line="520" w:lineRule="atLeast"/>
        <w:jc w:val="both"/>
        <w:rPr>
          <w:rFonts w:ascii="Garamond" w:eastAsia="Times New Roman" w:hAnsi="Garamond" w:cs="Times New Roman"/>
          <w:color w:val="000000"/>
          <w:sz w:val="30"/>
          <w:szCs w:val="30"/>
          <w:lang w:eastAsia="it-IT"/>
        </w:rPr>
      </w:pPr>
      <w:r w:rsidRPr="00123BE0">
        <w:rPr>
          <w:rFonts w:ascii="Garamond" w:eastAsia="Times New Roman" w:hAnsi="Garamond" w:cs="Times New Roman"/>
          <w:color w:val="000000"/>
          <w:sz w:val="30"/>
          <w:szCs w:val="30"/>
          <w:lang w:eastAsia="it-IT"/>
        </w:rPr>
        <w:t>In particolare, la ricorrente afferma che “la Signora Pulcini è una impiegata comunale addetta all'Ufficio gestione del Personale - Rilevazione Presenze; il dottor Eugenio Giovanni Maria De Rose è un impiegato dell'Area Economica-Finanziaria, mentre la Dottoressa Cimaglia è, tra le Assistenti sociali presenti nell'organico del Comune di Anguillara, quella con minor numero di anni di esperienza”.</w:t>
      </w:r>
    </w:p>
    <w:p w14:paraId="0084A2E3" w14:textId="77777777" w:rsidR="00123BE0" w:rsidRPr="00123BE0" w:rsidRDefault="00123BE0" w:rsidP="00123BE0">
      <w:pPr>
        <w:spacing w:after="0" w:line="520" w:lineRule="atLeast"/>
        <w:jc w:val="both"/>
        <w:rPr>
          <w:rFonts w:ascii="Garamond" w:eastAsia="Times New Roman" w:hAnsi="Garamond" w:cs="Times New Roman"/>
          <w:color w:val="000000"/>
          <w:sz w:val="30"/>
          <w:szCs w:val="30"/>
          <w:lang w:eastAsia="it-IT"/>
        </w:rPr>
      </w:pPr>
      <w:r w:rsidRPr="00123BE0">
        <w:rPr>
          <w:rFonts w:ascii="Garamond" w:eastAsia="Times New Roman" w:hAnsi="Garamond" w:cs="Times New Roman"/>
          <w:color w:val="000000"/>
          <w:sz w:val="30"/>
          <w:szCs w:val="30"/>
          <w:lang w:eastAsia="it-IT"/>
        </w:rPr>
        <w:lastRenderedPageBreak/>
        <w:t>Più in generale, il provvedimento di nomina della Commissione sarebbe illegittimo “in quanto adottato in assenza di qualsiasi predeterminazione dei criteri di trasparenza e di competenza e di un proprio specifico contenuto motivazionale”.</w:t>
      </w:r>
    </w:p>
    <w:p w14:paraId="7B697E4E" w14:textId="77777777" w:rsidR="00123BE0" w:rsidRPr="00123BE0" w:rsidRDefault="00123BE0" w:rsidP="00123BE0">
      <w:pPr>
        <w:spacing w:after="0" w:line="520" w:lineRule="atLeast"/>
        <w:jc w:val="both"/>
        <w:rPr>
          <w:rFonts w:ascii="Garamond" w:eastAsia="Times New Roman" w:hAnsi="Garamond" w:cs="Times New Roman"/>
          <w:color w:val="000000"/>
          <w:sz w:val="30"/>
          <w:szCs w:val="30"/>
          <w:lang w:eastAsia="it-IT"/>
        </w:rPr>
      </w:pPr>
      <w:r w:rsidRPr="00123BE0">
        <w:rPr>
          <w:rFonts w:ascii="Garamond" w:eastAsia="Times New Roman" w:hAnsi="Garamond" w:cs="Times New Roman"/>
          <w:color w:val="000000"/>
          <w:sz w:val="30"/>
          <w:szCs w:val="30"/>
          <w:lang w:eastAsia="it-IT"/>
        </w:rPr>
        <w:t>Il motivo è infondato.</w:t>
      </w:r>
    </w:p>
    <w:p w14:paraId="191F7E1C" w14:textId="77777777" w:rsidR="00123BE0" w:rsidRPr="00123BE0" w:rsidRDefault="00123BE0" w:rsidP="00123BE0">
      <w:pPr>
        <w:spacing w:after="0" w:line="520" w:lineRule="atLeast"/>
        <w:jc w:val="both"/>
        <w:rPr>
          <w:rFonts w:ascii="Garamond" w:eastAsia="Times New Roman" w:hAnsi="Garamond" w:cs="Times New Roman"/>
          <w:color w:val="000000"/>
          <w:sz w:val="30"/>
          <w:szCs w:val="30"/>
          <w:lang w:eastAsia="it-IT"/>
        </w:rPr>
      </w:pPr>
      <w:r w:rsidRPr="00123BE0">
        <w:rPr>
          <w:rFonts w:ascii="Garamond" w:eastAsia="Times New Roman" w:hAnsi="Garamond" w:cs="Times New Roman"/>
          <w:color w:val="000000"/>
          <w:sz w:val="30"/>
          <w:szCs w:val="30"/>
          <w:lang w:eastAsia="it-IT"/>
        </w:rPr>
        <w:t>Come spiegato dal Comune, la Presidenza della Commissione, due componenti dei quali sono in possesso del diploma di laurea, è stata affidata al dott. De Rose che – contrariamente a quanto asserito dalla ricorrente – non è un “impiegato dell’Area Economico Finanziaria”, bensì il Responsabile del suddetto settore, assunto con qualifiche di alta specializzazione e fuori dotazione organica, ex art. 110, co. 2 del T.U. Enti locali, mediante selezione pubblica volta ad accertare il possesso di comprovata esperienza pluriennale e specifica professionalità nelle materie oggetto dell’incarico. Il dott. De Rose è esperto in gare d’appalto e contratti e il ruolo dal medesimo ricoperto era stato correttamente indicato a pag. 3 del provvedimento di nomina della Commissione aggiudicatrice.</w:t>
      </w:r>
    </w:p>
    <w:p w14:paraId="6835BC48" w14:textId="77777777" w:rsidR="00123BE0" w:rsidRPr="00123BE0" w:rsidRDefault="00123BE0" w:rsidP="00123BE0">
      <w:pPr>
        <w:spacing w:after="0" w:line="520" w:lineRule="atLeast"/>
        <w:jc w:val="both"/>
        <w:rPr>
          <w:rFonts w:ascii="Garamond" w:eastAsia="Times New Roman" w:hAnsi="Garamond" w:cs="Times New Roman"/>
          <w:color w:val="000000"/>
          <w:sz w:val="30"/>
          <w:szCs w:val="30"/>
          <w:lang w:eastAsia="it-IT"/>
        </w:rPr>
      </w:pPr>
      <w:r w:rsidRPr="00123BE0">
        <w:rPr>
          <w:rFonts w:ascii="Garamond" w:eastAsia="Times New Roman" w:hAnsi="Garamond" w:cs="Times New Roman"/>
          <w:color w:val="000000"/>
          <w:sz w:val="30"/>
          <w:szCs w:val="30"/>
          <w:lang w:eastAsia="it-IT"/>
        </w:rPr>
        <w:t>L’istruttore amministrativo Stefania Pulcini, in servizio presso l’Ufficio Risorse Umane, è stata designata quale membro nonché segretario verbalizzante della Commissione aggiudicatrice in quanto esperta di personale, atteso che il contratto oggetto d’appalto, per sua stessa natura, è ad alta intensità di manodopera e, dunque, le offerte andavano valutate anche nell’ottica della fattibilità in relazione alle previsioni normative in tema di contratti di lavoro.</w:t>
      </w:r>
    </w:p>
    <w:p w14:paraId="7084F443" w14:textId="77777777" w:rsidR="00123BE0" w:rsidRPr="00123BE0" w:rsidRDefault="00123BE0" w:rsidP="00123BE0">
      <w:pPr>
        <w:spacing w:after="0" w:line="520" w:lineRule="atLeast"/>
        <w:jc w:val="both"/>
        <w:rPr>
          <w:rFonts w:ascii="Garamond" w:eastAsia="Times New Roman" w:hAnsi="Garamond" w:cs="Times New Roman"/>
          <w:color w:val="000000"/>
          <w:sz w:val="30"/>
          <w:szCs w:val="30"/>
          <w:lang w:eastAsia="it-IT"/>
        </w:rPr>
      </w:pPr>
      <w:r w:rsidRPr="00123BE0">
        <w:rPr>
          <w:rFonts w:ascii="Garamond" w:eastAsia="Times New Roman" w:hAnsi="Garamond" w:cs="Times New Roman"/>
          <w:color w:val="000000"/>
          <w:sz w:val="30"/>
          <w:szCs w:val="30"/>
          <w:lang w:eastAsia="it-IT"/>
        </w:rPr>
        <w:t>La dott.ssa Francesca Romana Cimaglia, invece, è stata designata membro della Commissione aggiudicatrice in quanto Assistente Sociale, iscritta all’Albo degli Assistenti Sociali della Regione Lazio, particolarmente esperta proprio nel settore della disabilità, nel quale opera sin dal 2001. Anche il ruolo di queste ultime è stato correttamente indicato a pagina 3 del summenzionato provvedimento di nomina della Commissione aggiudicatrice.</w:t>
      </w:r>
    </w:p>
    <w:p w14:paraId="379BB3F0" w14:textId="77777777" w:rsidR="00123BE0" w:rsidRPr="00123BE0" w:rsidRDefault="00123BE0" w:rsidP="00123BE0">
      <w:pPr>
        <w:spacing w:after="0" w:line="520" w:lineRule="atLeast"/>
        <w:jc w:val="both"/>
        <w:rPr>
          <w:rFonts w:ascii="Garamond" w:eastAsia="Times New Roman" w:hAnsi="Garamond" w:cs="Times New Roman"/>
          <w:color w:val="000000"/>
          <w:sz w:val="30"/>
          <w:szCs w:val="30"/>
          <w:lang w:eastAsia="it-IT"/>
        </w:rPr>
      </w:pPr>
      <w:r w:rsidRPr="00123BE0">
        <w:rPr>
          <w:rFonts w:ascii="Garamond" w:eastAsia="Times New Roman" w:hAnsi="Garamond" w:cs="Times New Roman"/>
          <w:color w:val="000000"/>
          <w:sz w:val="30"/>
          <w:szCs w:val="30"/>
          <w:lang w:eastAsia="it-IT"/>
        </w:rPr>
        <w:lastRenderedPageBreak/>
        <w:t>E secondo il Collegio, il fatto che quest’ultima sia “quella con minor numero di anni di esperienza” non inficia, di per sé, il provvedimento di nomina.</w:t>
      </w:r>
    </w:p>
    <w:p w14:paraId="6B52D2EE" w14:textId="77777777" w:rsidR="00123BE0" w:rsidRPr="00123BE0" w:rsidRDefault="00123BE0" w:rsidP="00123BE0">
      <w:pPr>
        <w:spacing w:after="0" w:line="520" w:lineRule="atLeast"/>
        <w:jc w:val="both"/>
        <w:rPr>
          <w:rFonts w:ascii="Garamond" w:eastAsia="Times New Roman" w:hAnsi="Garamond" w:cs="Times New Roman"/>
          <w:color w:val="000000"/>
          <w:sz w:val="30"/>
          <w:szCs w:val="30"/>
          <w:lang w:eastAsia="it-IT"/>
        </w:rPr>
      </w:pPr>
      <w:r w:rsidRPr="00123BE0">
        <w:rPr>
          <w:rFonts w:ascii="Garamond" w:eastAsia="Times New Roman" w:hAnsi="Garamond" w:cs="Times New Roman"/>
          <w:color w:val="000000"/>
          <w:sz w:val="30"/>
          <w:szCs w:val="30"/>
          <w:lang w:eastAsia="it-IT"/>
        </w:rPr>
        <w:t>Per quanto riguarda il profilo relativo alla “assenza di qualsiasi predeterminazione dei criteri di trasparenza e di competenza”, va evidenziato che il comma 12 dell’art. 77 del D.Lgs. n. 50/2016, relativo alla “Commissione giudicatrice”, prevedeva che “Fino alla adozione della disciplina in materia di iscrizione all'Albo di cui all'articolo 78, la commissione continua ad essere nominata dall'organo della stazione appaltante competente ad effettuare la scelta del soggetto affidatario del contratto, secondo regole di competenza e trasparenza preventivamente individuate da ciascuna stazione appaltante”. Ma tale comma è stato poi abrogato dall'art. 46, comma 1, lett. f), D.Lgs. 19 aprile 2017, n. 56.</w:t>
      </w:r>
    </w:p>
    <w:p w14:paraId="6372DF02" w14:textId="77777777" w:rsidR="00123BE0" w:rsidRPr="00123BE0" w:rsidRDefault="00123BE0" w:rsidP="00123BE0">
      <w:pPr>
        <w:spacing w:after="0" w:line="520" w:lineRule="atLeast"/>
        <w:jc w:val="both"/>
        <w:rPr>
          <w:rFonts w:ascii="Garamond" w:eastAsia="Times New Roman" w:hAnsi="Garamond" w:cs="Times New Roman"/>
          <w:color w:val="000000"/>
          <w:sz w:val="30"/>
          <w:szCs w:val="30"/>
          <w:lang w:eastAsia="it-IT"/>
        </w:rPr>
      </w:pPr>
      <w:r w:rsidRPr="00123BE0">
        <w:rPr>
          <w:rFonts w:ascii="Garamond" w:eastAsia="Times New Roman" w:hAnsi="Garamond" w:cs="Times New Roman"/>
          <w:color w:val="000000"/>
          <w:sz w:val="30"/>
          <w:szCs w:val="30"/>
          <w:lang w:eastAsia="it-IT"/>
        </w:rPr>
        <w:t>L’art. 216, comma 12, del medesimo D.Lgs. 50/2016 prevede tuttora che “fino alla adozione della disciplina in materia di iscrizione all'Albo di cui all'articolo 78, la commissione giudicatrice continua ad essere nominata dall'organo della stazione appaltante competente ad effettuare la scelta del soggetto affidatario del contratto, secondo regole di competenza e trasparenza preventivamente individuate da ciascuna stazione appaltante. Fino alla piena interazione dell'Albo di cui all'articolo 78 con le banche dati istituite presso le amministrazioni detentrici delle informazioni inerenti ai requisiti dei commissari, le stazioni appaltanti verificano, anche a campione, le autodichiarazioni presentate dai commissari estratti in ordine alla sussistenza dei requisiti dei medesimi commissari. Il mancato possesso dei requisiti o la dichiarazione di incompatibilità dei candidati deve essere tempestivamente comunicata dalla stazione appaltante all'ANAC ai fini della eventuale cancellazione dell'esperto dall'Albo e la comunicazione di un nuovo esperto”.</w:t>
      </w:r>
    </w:p>
    <w:p w14:paraId="48E234F4" w14:textId="77777777" w:rsidR="00123BE0" w:rsidRPr="00123BE0" w:rsidRDefault="00123BE0" w:rsidP="00123BE0">
      <w:pPr>
        <w:spacing w:after="0" w:line="520" w:lineRule="atLeast"/>
        <w:jc w:val="both"/>
        <w:rPr>
          <w:rFonts w:ascii="Garamond" w:eastAsia="Times New Roman" w:hAnsi="Garamond" w:cs="Times New Roman"/>
          <w:color w:val="000000"/>
          <w:sz w:val="30"/>
          <w:szCs w:val="30"/>
          <w:lang w:eastAsia="it-IT"/>
        </w:rPr>
      </w:pPr>
      <w:r w:rsidRPr="00123BE0">
        <w:rPr>
          <w:rFonts w:ascii="Garamond" w:eastAsia="Times New Roman" w:hAnsi="Garamond" w:cs="Times New Roman"/>
          <w:color w:val="000000"/>
          <w:sz w:val="30"/>
          <w:szCs w:val="30"/>
          <w:lang w:eastAsia="it-IT"/>
        </w:rPr>
        <w:t xml:space="preserve">Con deliberazione n. 648 del 18/07/2018 l’ANAC ha fornito “istruzioni operative per l'iscrizione all'Albo nazionale obbligatorio dei commissari di gara e per l'estrazione dei commissari”, specificando, al punto 17, che “ai fini dell'estrazione </w:t>
      </w:r>
      <w:r w:rsidRPr="00123BE0">
        <w:rPr>
          <w:rFonts w:ascii="Garamond" w:eastAsia="Times New Roman" w:hAnsi="Garamond" w:cs="Times New Roman"/>
          <w:color w:val="000000"/>
          <w:sz w:val="30"/>
          <w:szCs w:val="30"/>
          <w:lang w:eastAsia="it-IT"/>
        </w:rPr>
        <w:lastRenderedPageBreak/>
        <w:t>degli esperti, l'Albo è operativo, per le procedure di affidamento per le quali i bandi o gli avvisi prevedano termini di scadenza della presentazione delle offerte a partire dal 15 gennaio 2019. Da tale data, è superato il periodo transitorio di cui all'articolo 216, comma 12, primo periodo, del Codice dei contratti pubblici”.</w:t>
      </w:r>
    </w:p>
    <w:p w14:paraId="29165DB1" w14:textId="77777777" w:rsidR="00123BE0" w:rsidRPr="00123BE0" w:rsidRDefault="00123BE0" w:rsidP="00123BE0">
      <w:pPr>
        <w:spacing w:after="0" w:line="520" w:lineRule="atLeast"/>
        <w:jc w:val="both"/>
        <w:rPr>
          <w:rFonts w:ascii="Garamond" w:eastAsia="Times New Roman" w:hAnsi="Garamond" w:cs="Times New Roman"/>
          <w:color w:val="000000"/>
          <w:sz w:val="30"/>
          <w:szCs w:val="30"/>
          <w:lang w:eastAsia="it-IT"/>
        </w:rPr>
      </w:pPr>
      <w:r w:rsidRPr="00123BE0">
        <w:rPr>
          <w:rFonts w:ascii="Garamond" w:eastAsia="Times New Roman" w:hAnsi="Garamond" w:cs="Times New Roman"/>
          <w:color w:val="000000"/>
          <w:sz w:val="30"/>
          <w:szCs w:val="30"/>
          <w:lang w:eastAsia="it-IT"/>
        </w:rPr>
        <w:t>Quindi, semmai, nel caso in esame si sarebbe potuto porre solo un problema di competenza del Comune a nominare i commissari tra i propri dipendenti, anziché tra i soggetti inseriti nell’albo; ma su questo non è stata proposta censura.</w:t>
      </w:r>
    </w:p>
    <w:p w14:paraId="5A151C1A" w14:textId="77777777" w:rsidR="00123BE0" w:rsidRPr="00123BE0" w:rsidRDefault="00123BE0" w:rsidP="00123BE0">
      <w:pPr>
        <w:spacing w:after="0" w:line="520" w:lineRule="atLeast"/>
        <w:jc w:val="both"/>
        <w:rPr>
          <w:rFonts w:ascii="Garamond" w:eastAsia="Times New Roman" w:hAnsi="Garamond" w:cs="Times New Roman"/>
          <w:color w:val="000000"/>
          <w:sz w:val="30"/>
          <w:szCs w:val="30"/>
          <w:lang w:eastAsia="it-IT"/>
        </w:rPr>
      </w:pPr>
      <w:r w:rsidRPr="00123BE0">
        <w:rPr>
          <w:rFonts w:ascii="Garamond" w:eastAsia="Times New Roman" w:hAnsi="Garamond" w:cs="Times New Roman"/>
          <w:color w:val="000000"/>
          <w:sz w:val="30"/>
          <w:szCs w:val="30"/>
          <w:lang w:eastAsia="it-IT"/>
        </w:rPr>
        <w:t>3) Con il terzo motivo, la CEOS solleva una serie di asserite carenze nell’offerta tecnica presentata dall’impresa aggiudicataria che, a suo dire, avrebbero dovuto determinare l’attribuzione a tale ditta di un punteggio inferiore rispetto a quello effettivamente riconosciutole dalla Commissione aggiudicatrice.</w:t>
      </w:r>
    </w:p>
    <w:p w14:paraId="76E3F240" w14:textId="77777777" w:rsidR="00123BE0" w:rsidRPr="00123BE0" w:rsidRDefault="00123BE0" w:rsidP="00123BE0">
      <w:pPr>
        <w:spacing w:after="0" w:line="520" w:lineRule="atLeast"/>
        <w:jc w:val="both"/>
        <w:rPr>
          <w:rFonts w:ascii="Garamond" w:eastAsia="Times New Roman" w:hAnsi="Garamond" w:cs="Times New Roman"/>
          <w:color w:val="000000"/>
          <w:sz w:val="30"/>
          <w:szCs w:val="30"/>
          <w:lang w:eastAsia="it-IT"/>
        </w:rPr>
      </w:pPr>
      <w:r w:rsidRPr="00123BE0">
        <w:rPr>
          <w:rFonts w:ascii="Garamond" w:eastAsia="Times New Roman" w:hAnsi="Garamond" w:cs="Times New Roman"/>
          <w:color w:val="000000"/>
          <w:sz w:val="30"/>
          <w:szCs w:val="30"/>
          <w:lang w:eastAsia="it-IT"/>
        </w:rPr>
        <w:t>Sul punto va ricordato che il giudice amministrativo può sindacare le valutazioni dell’Amministrazione (solo) sotto il profilo della logicità, ragionevolezza e adeguatezza dell'istruttoria, senza poter tuttavia procedere ad alcuna autonoma verifica della congruità dell'offerta e delle singole voci, poiché ciò rappresenta una inammissibile invasione della sfera propria dell’Amministrazione; anche l'esame delle giustificazioni prodotte dai concorrenti, a dimostrazione della non anomalia della propria offerta, rientra nella discrezionalità tecnica dell’Amministrazione, con la conseguenza che soltanto in caso di macroscopiche illegittimità, quali gravi ed evidenti errori di valutazione oppure valutazioni abnormi o inficiate da errori di fatto, che in questo caso il Collegio non ravvisa, il giudice di legittimità può esercitare il proprio sindacato, ferma restando l'impossibilità di sostituire il proprio giudizio a quello dell’Amministrazione (cfr., ex multis, Cons. St., sez. III, 29/03/2019 n. 2079).</w:t>
      </w:r>
    </w:p>
    <w:p w14:paraId="21D1752B" w14:textId="77777777" w:rsidR="00123BE0" w:rsidRPr="00123BE0" w:rsidRDefault="00123BE0" w:rsidP="00123BE0">
      <w:pPr>
        <w:spacing w:after="0" w:line="520" w:lineRule="atLeast"/>
        <w:jc w:val="both"/>
        <w:rPr>
          <w:rFonts w:ascii="Garamond" w:eastAsia="Times New Roman" w:hAnsi="Garamond" w:cs="Times New Roman"/>
          <w:color w:val="000000"/>
          <w:sz w:val="30"/>
          <w:szCs w:val="30"/>
          <w:lang w:eastAsia="it-IT"/>
        </w:rPr>
      </w:pPr>
      <w:r w:rsidRPr="00123BE0">
        <w:rPr>
          <w:rFonts w:ascii="Garamond" w:eastAsia="Times New Roman" w:hAnsi="Garamond" w:cs="Times New Roman"/>
          <w:color w:val="000000"/>
          <w:sz w:val="30"/>
          <w:szCs w:val="30"/>
          <w:lang w:eastAsia="it-IT"/>
        </w:rPr>
        <w:t>Stante l’infondatezza del ricorso principale, può evitarsi, per sopravvenuta improcedibilità, l’esame di quello incidentale, nessun vantaggio ulteriore ricavando la controinteressata dal suo eventuale accoglimento (cfr., ex multis, Cons. St., sez. III, 10/05/2017 n. 2170).</w:t>
      </w:r>
    </w:p>
    <w:p w14:paraId="7B88A618" w14:textId="77777777" w:rsidR="00123BE0" w:rsidRPr="00123BE0" w:rsidRDefault="00123BE0" w:rsidP="00123BE0">
      <w:pPr>
        <w:spacing w:after="0" w:line="520" w:lineRule="atLeast"/>
        <w:jc w:val="both"/>
        <w:rPr>
          <w:rFonts w:ascii="Garamond" w:eastAsia="Times New Roman" w:hAnsi="Garamond" w:cs="Times New Roman"/>
          <w:color w:val="000000"/>
          <w:sz w:val="30"/>
          <w:szCs w:val="30"/>
          <w:lang w:eastAsia="it-IT"/>
        </w:rPr>
      </w:pPr>
      <w:r w:rsidRPr="00123BE0">
        <w:rPr>
          <w:rFonts w:ascii="Garamond" w:eastAsia="Times New Roman" w:hAnsi="Garamond" w:cs="Times New Roman"/>
          <w:color w:val="000000"/>
          <w:sz w:val="30"/>
          <w:szCs w:val="30"/>
          <w:lang w:eastAsia="it-IT"/>
        </w:rPr>
        <w:lastRenderedPageBreak/>
        <w:t>Le spese seguono la soccombenza, e vengono liquidate in dispositivo.</w:t>
      </w:r>
    </w:p>
    <w:p w14:paraId="4458DEC1" w14:textId="77777777" w:rsidR="00123BE0" w:rsidRPr="00123BE0" w:rsidRDefault="00123BE0" w:rsidP="00123BE0">
      <w:pPr>
        <w:spacing w:after="0" w:line="540" w:lineRule="atLeast"/>
        <w:jc w:val="center"/>
        <w:rPr>
          <w:rFonts w:ascii="Garamond" w:eastAsia="Times New Roman" w:hAnsi="Garamond" w:cs="Times New Roman"/>
          <w:color w:val="000000"/>
          <w:sz w:val="30"/>
          <w:szCs w:val="30"/>
          <w:lang w:eastAsia="it-IT"/>
        </w:rPr>
      </w:pPr>
      <w:r w:rsidRPr="00123BE0">
        <w:rPr>
          <w:rFonts w:ascii="Garamond" w:eastAsia="Times New Roman" w:hAnsi="Garamond" w:cs="Times New Roman"/>
          <w:color w:val="000000"/>
          <w:sz w:val="30"/>
          <w:szCs w:val="30"/>
          <w:lang w:eastAsia="it-IT"/>
        </w:rPr>
        <w:t>P.Q.M.</w:t>
      </w:r>
    </w:p>
    <w:p w14:paraId="20666BA8" w14:textId="77777777" w:rsidR="00123BE0" w:rsidRPr="00123BE0" w:rsidRDefault="00123BE0" w:rsidP="00123BE0">
      <w:pPr>
        <w:spacing w:after="0" w:line="520" w:lineRule="atLeast"/>
        <w:jc w:val="both"/>
        <w:rPr>
          <w:rFonts w:ascii="Garamond" w:eastAsia="Times New Roman" w:hAnsi="Garamond" w:cs="Times New Roman"/>
          <w:color w:val="000000"/>
          <w:sz w:val="30"/>
          <w:szCs w:val="30"/>
          <w:lang w:eastAsia="it-IT"/>
        </w:rPr>
      </w:pPr>
      <w:r w:rsidRPr="00123BE0">
        <w:rPr>
          <w:rFonts w:ascii="Garamond" w:eastAsia="Times New Roman" w:hAnsi="Garamond" w:cs="Times New Roman"/>
          <w:color w:val="000000"/>
          <w:sz w:val="30"/>
          <w:szCs w:val="30"/>
          <w:lang w:eastAsia="it-IT"/>
        </w:rPr>
        <w:t>Il Tribunale Amministrativo Regionale per il Lazio – Sezione Seconda Bis, definitivamente pronunciando sul ricorso in epigrafe, lo rigetta.</w:t>
      </w:r>
    </w:p>
    <w:p w14:paraId="143CC1D5" w14:textId="77777777" w:rsidR="00123BE0" w:rsidRPr="00123BE0" w:rsidRDefault="00123BE0" w:rsidP="00123BE0">
      <w:pPr>
        <w:spacing w:after="0" w:line="520" w:lineRule="atLeast"/>
        <w:jc w:val="both"/>
        <w:rPr>
          <w:rFonts w:ascii="Garamond" w:eastAsia="Times New Roman" w:hAnsi="Garamond" w:cs="Times New Roman"/>
          <w:color w:val="000000"/>
          <w:sz w:val="30"/>
          <w:szCs w:val="30"/>
          <w:lang w:eastAsia="it-IT"/>
        </w:rPr>
      </w:pPr>
      <w:r w:rsidRPr="00123BE0">
        <w:rPr>
          <w:rFonts w:ascii="Garamond" w:eastAsia="Times New Roman" w:hAnsi="Garamond" w:cs="Times New Roman"/>
          <w:color w:val="000000"/>
          <w:sz w:val="30"/>
          <w:szCs w:val="30"/>
          <w:lang w:eastAsia="it-IT"/>
        </w:rPr>
        <w:t>Dichiara improcedibile il ricorso incidentale.</w:t>
      </w:r>
    </w:p>
    <w:p w14:paraId="79E4CBE3" w14:textId="77777777" w:rsidR="00123BE0" w:rsidRPr="00123BE0" w:rsidRDefault="00123BE0" w:rsidP="00123BE0">
      <w:pPr>
        <w:spacing w:after="0" w:line="520" w:lineRule="atLeast"/>
        <w:jc w:val="both"/>
        <w:rPr>
          <w:rFonts w:ascii="Garamond" w:eastAsia="Times New Roman" w:hAnsi="Garamond" w:cs="Times New Roman"/>
          <w:color w:val="000000"/>
          <w:sz w:val="30"/>
          <w:szCs w:val="30"/>
          <w:lang w:eastAsia="it-IT"/>
        </w:rPr>
      </w:pPr>
      <w:r w:rsidRPr="00123BE0">
        <w:rPr>
          <w:rFonts w:ascii="Garamond" w:eastAsia="Times New Roman" w:hAnsi="Garamond" w:cs="Times New Roman"/>
          <w:color w:val="000000"/>
          <w:sz w:val="30"/>
          <w:szCs w:val="30"/>
          <w:lang w:eastAsia="it-IT"/>
        </w:rPr>
        <w:t>Condanna la ricorrente al pagamento delle spese di giudizio in favore del Comune e della controinteressata, liquidate in € 2.500,00, oltre accessori, per ciascuno.</w:t>
      </w:r>
    </w:p>
    <w:p w14:paraId="596EB68E" w14:textId="77777777" w:rsidR="00123BE0" w:rsidRPr="00123BE0" w:rsidRDefault="00123BE0" w:rsidP="00123BE0">
      <w:pPr>
        <w:spacing w:after="0" w:line="520" w:lineRule="atLeast"/>
        <w:jc w:val="both"/>
        <w:rPr>
          <w:rFonts w:ascii="Garamond" w:eastAsia="Times New Roman" w:hAnsi="Garamond" w:cs="Times New Roman"/>
          <w:color w:val="000000"/>
          <w:sz w:val="30"/>
          <w:szCs w:val="30"/>
          <w:lang w:eastAsia="it-IT"/>
        </w:rPr>
      </w:pPr>
      <w:r w:rsidRPr="00123BE0">
        <w:rPr>
          <w:rFonts w:ascii="Garamond" w:eastAsia="Times New Roman" w:hAnsi="Garamond" w:cs="Times New Roman"/>
          <w:color w:val="000000"/>
          <w:sz w:val="30"/>
          <w:szCs w:val="30"/>
          <w:lang w:eastAsia="it-IT"/>
        </w:rPr>
        <w:t>Ordina che la presente sentenza sia eseguita dall'autorità amministrativa.</w:t>
      </w:r>
    </w:p>
    <w:p w14:paraId="075E3F6E" w14:textId="77777777" w:rsidR="00123BE0" w:rsidRPr="00123BE0" w:rsidRDefault="00123BE0" w:rsidP="00123BE0">
      <w:pPr>
        <w:spacing w:after="0" w:line="520" w:lineRule="atLeast"/>
        <w:jc w:val="both"/>
        <w:rPr>
          <w:rFonts w:ascii="Garamond" w:eastAsia="Times New Roman" w:hAnsi="Garamond" w:cs="Times New Roman"/>
          <w:color w:val="000000"/>
          <w:sz w:val="30"/>
          <w:szCs w:val="30"/>
          <w:lang w:eastAsia="it-IT"/>
        </w:rPr>
      </w:pPr>
      <w:r w:rsidRPr="00123BE0">
        <w:rPr>
          <w:rFonts w:ascii="Garamond" w:eastAsia="Times New Roman" w:hAnsi="Garamond" w:cs="Times New Roman"/>
          <w:color w:val="000000"/>
          <w:sz w:val="30"/>
          <w:szCs w:val="30"/>
          <w:lang w:eastAsia="it-IT"/>
        </w:rPr>
        <w:t>Così deciso in Roma nella camera di consiglio del giorno 15 ottobre 2019 con l'intervento dei magistrati:</w:t>
      </w:r>
    </w:p>
    <w:p w14:paraId="45B40A45" w14:textId="77777777" w:rsidR="00123BE0" w:rsidRPr="00123BE0" w:rsidRDefault="00123BE0" w:rsidP="00123BE0">
      <w:pPr>
        <w:spacing w:after="0" w:line="520" w:lineRule="atLeast"/>
        <w:ind w:firstLine="567"/>
        <w:rPr>
          <w:rFonts w:ascii="Garamond" w:eastAsia="Times New Roman" w:hAnsi="Garamond" w:cs="Times New Roman"/>
          <w:color w:val="000000"/>
          <w:sz w:val="30"/>
          <w:szCs w:val="30"/>
          <w:lang w:eastAsia="it-IT"/>
        </w:rPr>
      </w:pPr>
      <w:r w:rsidRPr="00123BE0">
        <w:rPr>
          <w:rFonts w:ascii="Garamond" w:eastAsia="Times New Roman" w:hAnsi="Garamond" w:cs="Times New Roman"/>
          <w:color w:val="000000"/>
          <w:sz w:val="30"/>
          <w:szCs w:val="30"/>
          <w:lang w:eastAsia="it-IT"/>
        </w:rPr>
        <w:t>Elena Stanizzi, Presidente</w:t>
      </w:r>
    </w:p>
    <w:p w14:paraId="26FAD275" w14:textId="77777777" w:rsidR="00123BE0" w:rsidRPr="00123BE0" w:rsidRDefault="00123BE0" w:rsidP="00123BE0">
      <w:pPr>
        <w:spacing w:after="0" w:line="520" w:lineRule="atLeast"/>
        <w:ind w:firstLine="567"/>
        <w:rPr>
          <w:rFonts w:ascii="Garamond" w:eastAsia="Times New Roman" w:hAnsi="Garamond" w:cs="Times New Roman"/>
          <w:color w:val="000000"/>
          <w:sz w:val="30"/>
          <w:szCs w:val="30"/>
          <w:lang w:eastAsia="it-IT"/>
        </w:rPr>
      </w:pPr>
      <w:r w:rsidRPr="00123BE0">
        <w:rPr>
          <w:rFonts w:ascii="Garamond" w:eastAsia="Times New Roman" w:hAnsi="Garamond" w:cs="Times New Roman"/>
          <w:color w:val="000000"/>
          <w:sz w:val="30"/>
          <w:szCs w:val="30"/>
          <w:lang w:eastAsia="it-IT"/>
        </w:rPr>
        <w:t>Dauno Trebastoni, Consigliere, Estensore</w:t>
      </w:r>
    </w:p>
    <w:p w14:paraId="7F68A0BA" w14:textId="77777777" w:rsidR="00123BE0" w:rsidRPr="00123BE0" w:rsidRDefault="00123BE0" w:rsidP="00123BE0">
      <w:pPr>
        <w:spacing w:after="0" w:line="520" w:lineRule="atLeast"/>
        <w:ind w:firstLine="567"/>
        <w:rPr>
          <w:rFonts w:ascii="Garamond" w:eastAsia="Times New Roman" w:hAnsi="Garamond" w:cs="Times New Roman"/>
          <w:color w:val="000000"/>
          <w:sz w:val="30"/>
          <w:szCs w:val="30"/>
          <w:lang w:eastAsia="it-IT"/>
        </w:rPr>
      </w:pPr>
      <w:r w:rsidRPr="00123BE0">
        <w:rPr>
          <w:rFonts w:ascii="Garamond" w:eastAsia="Times New Roman" w:hAnsi="Garamond" w:cs="Times New Roman"/>
          <w:color w:val="000000"/>
          <w:sz w:val="30"/>
          <w:szCs w:val="30"/>
          <w:lang w:eastAsia="it-IT"/>
        </w:rPr>
        <w:t>Brunella Bruno, Consigliere</w:t>
      </w:r>
    </w:p>
    <w:tbl>
      <w:tblPr>
        <w:tblW w:w="5000" w:type="pct"/>
        <w:tblCellMar>
          <w:top w:w="15" w:type="dxa"/>
          <w:left w:w="15" w:type="dxa"/>
          <w:bottom w:w="15" w:type="dxa"/>
          <w:right w:w="15" w:type="dxa"/>
        </w:tblCellMar>
        <w:tblLook w:val="04A0" w:firstRow="1" w:lastRow="0" w:firstColumn="1" w:lastColumn="0" w:noHBand="0" w:noVBand="1"/>
      </w:tblPr>
      <w:tblGrid>
        <w:gridCol w:w="4797"/>
        <w:gridCol w:w="78"/>
        <w:gridCol w:w="4763"/>
      </w:tblGrid>
      <w:tr w:rsidR="00123BE0" w:rsidRPr="00123BE0" w14:paraId="24074E1C" w14:textId="77777777" w:rsidTr="00123BE0">
        <w:tc>
          <w:tcPr>
            <w:tcW w:w="0" w:type="auto"/>
            <w:vAlign w:val="center"/>
            <w:hideMark/>
          </w:tcPr>
          <w:p w14:paraId="6BEAF1AF" w14:textId="77777777" w:rsidR="00123BE0" w:rsidRPr="00123BE0" w:rsidRDefault="00123BE0" w:rsidP="00123BE0">
            <w:pPr>
              <w:spacing w:after="0" w:line="240" w:lineRule="auto"/>
              <w:jc w:val="center"/>
              <w:rPr>
                <w:rFonts w:ascii="Times New Roman" w:eastAsia="Times New Roman" w:hAnsi="Times New Roman" w:cs="Times New Roman"/>
                <w:b/>
                <w:bCs/>
                <w:sz w:val="28"/>
                <w:szCs w:val="28"/>
                <w:lang w:eastAsia="it-IT"/>
              </w:rPr>
            </w:pPr>
            <w:r w:rsidRPr="00123BE0">
              <w:rPr>
                <w:rFonts w:ascii="Times New Roman" w:eastAsia="Times New Roman" w:hAnsi="Times New Roman" w:cs="Times New Roman"/>
                <w:b/>
                <w:bCs/>
                <w:sz w:val="28"/>
                <w:szCs w:val="28"/>
                <w:lang w:eastAsia="it-IT"/>
              </w:rPr>
              <w:t> </w:t>
            </w:r>
          </w:p>
        </w:tc>
        <w:tc>
          <w:tcPr>
            <w:tcW w:w="0" w:type="auto"/>
            <w:vAlign w:val="center"/>
            <w:hideMark/>
          </w:tcPr>
          <w:p w14:paraId="2F46B8FE" w14:textId="77777777" w:rsidR="00123BE0" w:rsidRPr="00123BE0" w:rsidRDefault="00123BE0" w:rsidP="00123BE0">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4733A9D6" w14:textId="77777777" w:rsidR="00123BE0" w:rsidRPr="00123BE0" w:rsidRDefault="00123BE0" w:rsidP="00123BE0">
            <w:pPr>
              <w:spacing w:after="0" w:line="240" w:lineRule="auto"/>
              <w:jc w:val="center"/>
              <w:rPr>
                <w:rFonts w:ascii="Times New Roman" w:eastAsia="Times New Roman" w:hAnsi="Times New Roman" w:cs="Times New Roman"/>
                <w:sz w:val="20"/>
                <w:szCs w:val="20"/>
                <w:lang w:eastAsia="it-IT"/>
              </w:rPr>
            </w:pPr>
          </w:p>
        </w:tc>
      </w:tr>
      <w:tr w:rsidR="00123BE0" w:rsidRPr="00123BE0" w14:paraId="761D482A" w14:textId="77777777" w:rsidTr="00123BE0">
        <w:tc>
          <w:tcPr>
            <w:tcW w:w="0" w:type="auto"/>
            <w:vAlign w:val="center"/>
            <w:hideMark/>
          </w:tcPr>
          <w:p w14:paraId="474C5A12" w14:textId="77777777" w:rsidR="00123BE0" w:rsidRPr="00123BE0" w:rsidRDefault="00123BE0" w:rsidP="00123BE0">
            <w:pPr>
              <w:spacing w:after="0" w:line="240" w:lineRule="auto"/>
              <w:jc w:val="center"/>
              <w:rPr>
                <w:rFonts w:ascii="Times New Roman" w:eastAsia="Times New Roman" w:hAnsi="Times New Roman" w:cs="Times New Roman"/>
                <w:b/>
                <w:bCs/>
                <w:sz w:val="28"/>
                <w:szCs w:val="28"/>
                <w:lang w:eastAsia="it-IT"/>
              </w:rPr>
            </w:pPr>
            <w:r w:rsidRPr="00123BE0">
              <w:rPr>
                <w:rFonts w:ascii="Times New Roman" w:eastAsia="Times New Roman" w:hAnsi="Times New Roman" w:cs="Times New Roman"/>
                <w:b/>
                <w:bCs/>
                <w:sz w:val="28"/>
                <w:szCs w:val="28"/>
                <w:lang w:eastAsia="it-IT"/>
              </w:rPr>
              <w:t> </w:t>
            </w:r>
          </w:p>
        </w:tc>
        <w:tc>
          <w:tcPr>
            <w:tcW w:w="0" w:type="auto"/>
            <w:vAlign w:val="center"/>
            <w:hideMark/>
          </w:tcPr>
          <w:p w14:paraId="57282C78" w14:textId="77777777" w:rsidR="00123BE0" w:rsidRPr="00123BE0" w:rsidRDefault="00123BE0" w:rsidP="00123BE0">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3B3EDFD2" w14:textId="77777777" w:rsidR="00123BE0" w:rsidRPr="00123BE0" w:rsidRDefault="00123BE0" w:rsidP="00123BE0">
            <w:pPr>
              <w:spacing w:after="0" w:line="240" w:lineRule="auto"/>
              <w:jc w:val="center"/>
              <w:rPr>
                <w:rFonts w:ascii="Times New Roman" w:eastAsia="Times New Roman" w:hAnsi="Times New Roman" w:cs="Times New Roman"/>
                <w:sz w:val="20"/>
                <w:szCs w:val="20"/>
                <w:lang w:eastAsia="it-IT"/>
              </w:rPr>
            </w:pPr>
          </w:p>
        </w:tc>
      </w:tr>
      <w:tr w:rsidR="00123BE0" w:rsidRPr="00123BE0" w14:paraId="1BBBF4B2" w14:textId="77777777" w:rsidTr="00123BE0">
        <w:tc>
          <w:tcPr>
            <w:tcW w:w="0" w:type="auto"/>
            <w:vAlign w:val="center"/>
            <w:hideMark/>
          </w:tcPr>
          <w:p w14:paraId="5C665B08" w14:textId="77777777" w:rsidR="00123BE0" w:rsidRPr="00123BE0" w:rsidRDefault="00123BE0" w:rsidP="00123BE0">
            <w:pPr>
              <w:spacing w:after="0" w:line="240" w:lineRule="auto"/>
              <w:jc w:val="center"/>
              <w:rPr>
                <w:rFonts w:ascii="Times New Roman" w:eastAsia="Times New Roman" w:hAnsi="Times New Roman" w:cs="Times New Roman"/>
                <w:b/>
                <w:bCs/>
                <w:sz w:val="28"/>
                <w:szCs w:val="28"/>
                <w:lang w:eastAsia="it-IT"/>
              </w:rPr>
            </w:pPr>
            <w:r w:rsidRPr="00123BE0">
              <w:rPr>
                <w:rFonts w:ascii="Times New Roman" w:eastAsia="Times New Roman" w:hAnsi="Times New Roman" w:cs="Times New Roman"/>
                <w:b/>
                <w:bCs/>
                <w:sz w:val="28"/>
                <w:szCs w:val="28"/>
                <w:lang w:eastAsia="it-IT"/>
              </w:rPr>
              <w:t>L'ESTENSORE</w:t>
            </w:r>
          </w:p>
        </w:tc>
        <w:tc>
          <w:tcPr>
            <w:tcW w:w="0" w:type="auto"/>
            <w:vAlign w:val="center"/>
            <w:hideMark/>
          </w:tcPr>
          <w:p w14:paraId="5DBF31C6" w14:textId="77777777" w:rsidR="00123BE0" w:rsidRPr="00123BE0" w:rsidRDefault="00123BE0" w:rsidP="00123BE0">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0AE55A0A" w14:textId="77777777" w:rsidR="00123BE0" w:rsidRPr="00123BE0" w:rsidRDefault="00123BE0" w:rsidP="00123BE0">
            <w:pPr>
              <w:spacing w:after="0" w:line="240" w:lineRule="auto"/>
              <w:jc w:val="center"/>
              <w:rPr>
                <w:rFonts w:ascii="Times New Roman" w:eastAsia="Times New Roman" w:hAnsi="Times New Roman" w:cs="Times New Roman"/>
                <w:b/>
                <w:bCs/>
                <w:sz w:val="28"/>
                <w:szCs w:val="28"/>
                <w:lang w:eastAsia="it-IT"/>
              </w:rPr>
            </w:pPr>
            <w:r w:rsidRPr="00123BE0">
              <w:rPr>
                <w:rFonts w:ascii="Times New Roman" w:eastAsia="Times New Roman" w:hAnsi="Times New Roman" w:cs="Times New Roman"/>
                <w:b/>
                <w:bCs/>
                <w:sz w:val="28"/>
                <w:szCs w:val="28"/>
                <w:lang w:eastAsia="it-IT"/>
              </w:rPr>
              <w:t>IL PRESIDENTE</w:t>
            </w:r>
          </w:p>
        </w:tc>
      </w:tr>
      <w:tr w:rsidR="00123BE0" w:rsidRPr="00123BE0" w14:paraId="12179B50" w14:textId="77777777" w:rsidTr="00123BE0">
        <w:tc>
          <w:tcPr>
            <w:tcW w:w="0" w:type="auto"/>
            <w:vAlign w:val="center"/>
            <w:hideMark/>
          </w:tcPr>
          <w:p w14:paraId="14A719F2" w14:textId="77777777" w:rsidR="00123BE0" w:rsidRPr="00123BE0" w:rsidRDefault="00123BE0" w:rsidP="00123BE0">
            <w:pPr>
              <w:spacing w:after="0" w:line="240" w:lineRule="auto"/>
              <w:jc w:val="center"/>
              <w:rPr>
                <w:rFonts w:ascii="Times New Roman" w:eastAsia="Times New Roman" w:hAnsi="Times New Roman" w:cs="Times New Roman"/>
                <w:b/>
                <w:bCs/>
                <w:sz w:val="28"/>
                <w:szCs w:val="28"/>
                <w:lang w:eastAsia="it-IT"/>
              </w:rPr>
            </w:pPr>
            <w:r w:rsidRPr="00123BE0">
              <w:rPr>
                <w:rFonts w:ascii="Times New Roman" w:eastAsia="Times New Roman" w:hAnsi="Times New Roman" w:cs="Times New Roman"/>
                <w:b/>
                <w:bCs/>
                <w:sz w:val="28"/>
                <w:szCs w:val="28"/>
                <w:lang w:eastAsia="it-IT"/>
              </w:rPr>
              <w:t>Dauno Trebastoni</w:t>
            </w:r>
          </w:p>
        </w:tc>
        <w:tc>
          <w:tcPr>
            <w:tcW w:w="0" w:type="auto"/>
            <w:vAlign w:val="center"/>
            <w:hideMark/>
          </w:tcPr>
          <w:p w14:paraId="699B251D" w14:textId="77777777" w:rsidR="00123BE0" w:rsidRPr="00123BE0" w:rsidRDefault="00123BE0" w:rsidP="00123BE0">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7FEBBF52" w14:textId="77777777" w:rsidR="00123BE0" w:rsidRPr="00123BE0" w:rsidRDefault="00123BE0" w:rsidP="00123BE0">
            <w:pPr>
              <w:spacing w:after="0" w:line="240" w:lineRule="auto"/>
              <w:jc w:val="center"/>
              <w:rPr>
                <w:rFonts w:ascii="Times New Roman" w:eastAsia="Times New Roman" w:hAnsi="Times New Roman" w:cs="Times New Roman"/>
                <w:b/>
                <w:bCs/>
                <w:sz w:val="28"/>
                <w:szCs w:val="28"/>
                <w:lang w:eastAsia="it-IT"/>
              </w:rPr>
            </w:pPr>
            <w:r w:rsidRPr="00123BE0">
              <w:rPr>
                <w:rFonts w:ascii="Times New Roman" w:eastAsia="Times New Roman" w:hAnsi="Times New Roman" w:cs="Times New Roman"/>
                <w:b/>
                <w:bCs/>
                <w:sz w:val="28"/>
                <w:szCs w:val="28"/>
                <w:lang w:eastAsia="it-IT"/>
              </w:rPr>
              <w:t>Elena Stanizzi</w:t>
            </w:r>
          </w:p>
        </w:tc>
      </w:tr>
      <w:tr w:rsidR="00123BE0" w:rsidRPr="00123BE0" w14:paraId="4208812F" w14:textId="77777777" w:rsidTr="00123BE0">
        <w:tc>
          <w:tcPr>
            <w:tcW w:w="0" w:type="auto"/>
            <w:vAlign w:val="center"/>
            <w:hideMark/>
          </w:tcPr>
          <w:p w14:paraId="2EADFC8B" w14:textId="77777777" w:rsidR="00123BE0" w:rsidRPr="00123BE0" w:rsidRDefault="00123BE0" w:rsidP="00123BE0">
            <w:pPr>
              <w:spacing w:after="0" w:line="240" w:lineRule="auto"/>
              <w:jc w:val="center"/>
              <w:rPr>
                <w:rFonts w:ascii="Times New Roman" w:eastAsia="Times New Roman" w:hAnsi="Times New Roman" w:cs="Times New Roman"/>
                <w:b/>
                <w:bCs/>
                <w:sz w:val="28"/>
                <w:szCs w:val="28"/>
                <w:lang w:eastAsia="it-IT"/>
              </w:rPr>
            </w:pPr>
            <w:r w:rsidRPr="00123BE0">
              <w:rPr>
                <w:rFonts w:ascii="Times New Roman" w:eastAsia="Times New Roman" w:hAnsi="Times New Roman" w:cs="Times New Roman"/>
                <w:b/>
                <w:bCs/>
                <w:sz w:val="28"/>
                <w:szCs w:val="28"/>
                <w:lang w:eastAsia="it-IT"/>
              </w:rPr>
              <w:t> </w:t>
            </w:r>
          </w:p>
        </w:tc>
        <w:tc>
          <w:tcPr>
            <w:tcW w:w="0" w:type="auto"/>
            <w:vAlign w:val="center"/>
            <w:hideMark/>
          </w:tcPr>
          <w:p w14:paraId="63BE27FA" w14:textId="77777777" w:rsidR="00123BE0" w:rsidRPr="00123BE0" w:rsidRDefault="00123BE0" w:rsidP="00123BE0">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1110869A" w14:textId="77777777" w:rsidR="00123BE0" w:rsidRPr="00123BE0" w:rsidRDefault="00123BE0" w:rsidP="00123BE0">
            <w:pPr>
              <w:spacing w:after="0" w:line="240" w:lineRule="auto"/>
              <w:jc w:val="center"/>
              <w:rPr>
                <w:rFonts w:ascii="Times New Roman" w:eastAsia="Times New Roman" w:hAnsi="Times New Roman" w:cs="Times New Roman"/>
                <w:sz w:val="20"/>
                <w:szCs w:val="20"/>
                <w:lang w:eastAsia="it-IT"/>
              </w:rPr>
            </w:pPr>
          </w:p>
        </w:tc>
      </w:tr>
      <w:tr w:rsidR="00123BE0" w:rsidRPr="00123BE0" w14:paraId="049EB4CE" w14:textId="77777777" w:rsidTr="00123BE0">
        <w:tc>
          <w:tcPr>
            <w:tcW w:w="0" w:type="auto"/>
            <w:vAlign w:val="center"/>
            <w:hideMark/>
          </w:tcPr>
          <w:p w14:paraId="5B50CD9A" w14:textId="77777777" w:rsidR="00123BE0" w:rsidRPr="00123BE0" w:rsidRDefault="00123BE0" w:rsidP="00123BE0">
            <w:pPr>
              <w:spacing w:after="0" w:line="240" w:lineRule="auto"/>
              <w:jc w:val="center"/>
              <w:rPr>
                <w:rFonts w:ascii="Times New Roman" w:eastAsia="Times New Roman" w:hAnsi="Times New Roman" w:cs="Times New Roman"/>
                <w:b/>
                <w:bCs/>
                <w:sz w:val="28"/>
                <w:szCs w:val="28"/>
                <w:lang w:eastAsia="it-IT"/>
              </w:rPr>
            </w:pPr>
            <w:r w:rsidRPr="00123BE0">
              <w:rPr>
                <w:rFonts w:ascii="Times New Roman" w:eastAsia="Times New Roman" w:hAnsi="Times New Roman" w:cs="Times New Roman"/>
                <w:b/>
                <w:bCs/>
                <w:sz w:val="28"/>
                <w:szCs w:val="28"/>
                <w:lang w:eastAsia="it-IT"/>
              </w:rPr>
              <w:t> </w:t>
            </w:r>
          </w:p>
        </w:tc>
        <w:tc>
          <w:tcPr>
            <w:tcW w:w="0" w:type="auto"/>
            <w:vAlign w:val="center"/>
            <w:hideMark/>
          </w:tcPr>
          <w:p w14:paraId="45EC6B81" w14:textId="77777777" w:rsidR="00123BE0" w:rsidRPr="00123BE0" w:rsidRDefault="00123BE0" w:rsidP="00123BE0">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19E5168C" w14:textId="77777777" w:rsidR="00123BE0" w:rsidRPr="00123BE0" w:rsidRDefault="00123BE0" w:rsidP="00123BE0">
            <w:pPr>
              <w:spacing w:after="0" w:line="240" w:lineRule="auto"/>
              <w:jc w:val="center"/>
              <w:rPr>
                <w:rFonts w:ascii="Times New Roman" w:eastAsia="Times New Roman" w:hAnsi="Times New Roman" w:cs="Times New Roman"/>
                <w:sz w:val="20"/>
                <w:szCs w:val="20"/>
                <w:lang w:eastAsia="it-IT"/>
              </w:rPr>
            </w:pPr>
          </w:p>
        </w:tc>
      </w:tr>
      <w:tr w:rsidR="00123BE0" w:rsidRPr="00123BE0" w14:paraId="6FF4AB9A" w14:textId="77777777" w:rsidTr="00123BE0">
        <w:tc>
          <w:tcPr>
            <w:tcW w:w="0" w:type="auto"/>
            <w:vAlign w:val="center"/>
            <w:hideMark/>
          </w:tcPr>
          <w:p w14:paraId="578B024D" w14:textId="77777777" w:rsidR="00123BE0" w:rsidRPr="00123BE0" w:rsidRDefault="00123BE0" w:rsidP="00123BE0">
            <w:pPr>
              <w:spacing w:after="0" w:line="240" w:lineRule="auto"/>
              <w:jc w:val="center"/>
              <w:rPr>
                <w:rFonts w:ascii="Times New Roman" w:eastAsia="Times New Roman" w:hAnsi="Times New Roman" w:cs="Times New Roman"/>
                <w:b/>
                <w:bCs/>
                <w:sz w:val="28"/>
                <w:szCs w:val="28"/>
                <w:lang w:eastAsia="it-IT"/>
              </w:rPr>
            </w:pPr>
            <w:r w:rsidRPr="00123BE0">
              <w:rPr>
                <w:rFonts w:ascii="Times New Roman" w:eastAsia="Times New Roman" w:hAnsi="Times New Roman" w:cs="Times New Roman"/>
                <w:b/>
                <w:bCs/>
                <w:sz w:val="28"/>
                <w:szCs w:val="28"/>
                <w:lang w:eastAsia="it-IT"/>
              </w:rPr>
              <w:t> </w:t>
            </w:r>
          </w:p>
        </w:tc>
        <w:tc>
          <w:tcPr>
            <w:tcW w:w="0" w:type="auto"/>
            <w:vAlign w:val="center"/>
            <w:hideMark/>
          </w:tcPr>
          <w:p w14:paraId="0AE4180C" w14:textId="77777777" w:rsidR="00123BE0" w:rsidRPr="00123BE0" w:rsidRDefault="00123BE0" w:rsidP="00123BE0">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6B7B3031" w14:textId="77777777" w:rsidR="00123BE0" w:rsidRPr="00123BE0" w:rsidRDefault="00123BE0" w:rsidP="00123BE0">
            <w:pPr>
              <w:spacing w:after="0" w:line="240" w:lineRule="auto"/>
              <w:jc w:val="center"/>
              <w:rPr>
                <w:rFonts w:ascii="Times New Roman" w:eastAsia="Times New Roman" w:hAnsi="Times New Roman" w:cs="Times New Roman"/>
                <w:sz w:val="20"/>
                <w:szCs w:val="20"/>
                <w:lang w:eastAsia="it-IT"/>
              </w:rPr>
            </w:pPr>
          </w:p>
        </w:tc>
      </w:tr>
      <w:tr w:rsidR="00123BE0" w:rsidRPr="00123BE0" w14:paraId="3A6B8FB5" w14:textId="77777777" w:rsidTr="00123BE0">
        <w:tc>
          <w:tcPr>
            <w:tcW w:w="0" w:type="auto"/>
            <w:vAlign w:val="center"/>
            <w:hideMark/>
          </w:tcPr>
          <w:p w14:paraId="1868310D" w14:textId="77777777" w:rsidR="00123BE0" w:rsidRPr="00123BE0" w:rsidRDefault="00123BE0" w:rsidP="00123BE0">
            <w:pPr>
              <w:spacing w:after="0" w:line="240" w:lineRule="auto"/>
              <w:jc w:val="center"/>
              <w:rPr>
                <w:rFonts w:ascii="Times New Roman" w:eastAsia="Times New Roman" w:hAnsi="Times New Roman" w:cs="Times New Roman"/>
                <w:b/>
                <w:bCs/>
                <w:sz w:val="28"/>
                <w:szCs w:val="28"/>
                <w:lang w:eastAsia="it-IT"/>
              </w:rPr>
            </w:pPr>
            <w:r w:rsidRPr="00123BE0">
              <w:rPr>
                <w:rFonts w:ascii="Times New Roman" w:eastAsia="Times New Roman" w:hAnsi="Times New Roman" w:cs="Times New Roman"/>
                <w:b/>
                <w:bCs/>
                <w:sz w:val="28"/>
                <w:szCs w:val="28"/>
                <w:lang w:eastAsia="it-IT"/>
              </w:rPr>
              <w:t> </w:t>
            </w:r>
          </w:p>
        </w:tc>
        <w:tc>
          <w:tcPr>
            <w:tcW w:w="0" w:type="auto"/>
            <w:vAlign w:val="center"/>
            <w:hideMark/>
          </w:tcPr>
          <w:p w14:paraId="702E8E2C" w14:textId="77777777" w:rsidR="00123BE0" w:rsidRPr="00123BE0" w:rsidRDefault="00123BE0" w:rsidP="00123BE0">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45110EA4" w14:textId="77777777" w:rsidR="00123BE0" w:rsidRPr="00123BE0" w:rsidRDefault="00123BE0" w:rsidP="00123BE0">
            <w:pPr>
              <w:spacing w:after="0" w:line="240" w:lineRule="auto"/>
              <w:jc w:val="center"/>
              <w:rPr>
                <w:rFonts w:ascii="Times New Roman" w:eastAsia="Times New Roman" w:hAnsi="Times New Roman" w:cs="Times New Roman"/>
                <w:sz w:val="20"/>
                <w:szCs w:val="20"/>
                <w:lang w:eastAsia="it-IT"/>
              </w:rPr>
            </w:pPr>
          </w:p>
        </w:tc>
      </w:tr>
      <w:tr w:rsidR="00123BE0" w:rsidRPr="00123BE0" w14:paraId="7DE49E91" w14:textId="77777777" w:rsidTr="00123BE0">
        <w:tc>
          <w:tcPr>
            <w:tcW w:w="0" w:type="auto"/>
            <w:vAlign w:val="center"/>
            <w:hideMark/>
          </w:tcPr>
          <w:p w14:paraId="4B74DC55" w14:textId="77777777" w:rsidR="00123BE0" w:rsidRPr="00123BE0" w:rsidRDefault="00123BE0" w:rsidP="00123BE0">
            <w:pPr>
              <w:spacing w:after="0" w:line="240" w:lineRule="auto"/>
              <w:jc w:val="center"/>
              <w:rPr>
                <w:rFonts w:ascii="Times New Roman" w:eastAsia="Times New Roman" w:hAnsi="Times New Roman" w:cs="Times New Roman"/>
                <w:b/>
                <w:bCs/>
                <w:sz w:val="28"/>
                <w:szCs w:val="28"/>
                <w:lang w:eastAsia="it-IT"/>
              </w:rPr>
            </w:pPr>
            <w:r w:rsidRPr="00123BE0">
              <w:rPr>
                <w:rFonts w:ascii="Times New Roman" w:eastAsia="Times New Roman" w:hAnsi="Times New Roman" w:cs="Times New Roman"/>
                <w:b/>
                <w:bCs/>
                <w:sz w:val="28"/>
                <w:szCs w:val="28"/>
                <w:lang w:eastAsia="it-IT"/>
              </w:rPr>
              <w:t> </w:t>
            </w:r>
          </w:p>
        </w:tc>
        <w:tc>
          <w:tcPr>
            <w:tcW w:w="0" w:type="auto"/>
            <w:vAlign w:val="center"/>
            <w:hideMark/>
          </w:tcPr>
          <w:p w14:paraId="5D3590F4" w14:textId="77777777" w:rsidR="00123BE0" w:rsidRPr="00123BE0" w:rsidRDefault="00123BE0" w:rsidP="00123BE0">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6B06C5F1" w14:textId="77777777" w:rsidR="00123BE0" w:rsidRPr="00123BE0" w:rsidRDefault="00123BE0" w:rsidP="00123BE0">
            <w:pPr>
              <w:spacing w:after="0" w:line="240" w:lineRule="auto"/>
              <w:jc w:val="center"/>
              <w:rPr>
                <w:rFonts w:ascii="Times New Roman" w:eastAsia="Times New Roman" w:hAnsi="Times New Roman" w:cs="Times New Roman"/>
                <w:sz w:val="20"/>
                <w:szCs w:val="20"/>
                <w:lang w:eastAsia="it-IT"/>
              </w:rPr>
            </w:pPr>
          </w:p>
        </w:tc>
      </w:tr>
    </w:tbl>
    <w:p w14:paraId="46A40FCB" w14:textId="77777777" w:rsidR="00123BE0" w:rsidRPr="00123BE0" w:rsidRDefault="00123BE0" w:rsidP="00123BE0">
      <w:pPr>
        <w:spacing w:after="0" w:line="540" w:lineRule="atLeast"/>
        <w:jc w:val="center"/>
        <w:rPr>
          <w:rFonts w:ascii="Garamond" w:eastAsia="Times New Roman" w:hAnsi="Garamond" w:cs="Times New Roman"/>
          <w:color w:val="000000"/>
          <w:sz w:val="30"/>
          <w:szCs w:val="30"/>
          <w:lang w:eastAsia="it-IT"/>
        </w:rPr>
      </w:pPr>
      <w:r w:rsidRPr="00123BE0">
        <w:rPr>
          <w:rFonts w:ascii="Garamond" w:eastAsia="Times New Roman" w:hAnsi="Garamond" w:cs="Times New Roman"/>
          <w:color w:val="000000"/>
          <w:sz w:val="30"/>
          <w:szCs w:val="30"/>
          <w:lang w:eastAsia="it-IT"/>
        </w:rPr>
        <w:t>IL SEGRETARIO</w:t>
      </w:r>
    </w:p>
    <w:p w14:paraId="403ED3DE" w14:textId="77777777" w:rsidR="0003037F" w:rsidRDefault="0003037F"/>
    <w:sectPr w:rsidR="0003037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ordic">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BE0"/>
    <w:rsid w:val="0003037F"/>
    <w:rsid w:val="00123B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BD264"/>
  <w15:chartTrackingRefBased/>
  <w15:docId w15:val="{4E3DB818-F35F-4927-ADBA-AEC34CE04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istri">
    <w:name w:val="registri"/>
    <w:basedOn w:val="Normale"/>
    <w:rsid w:val="00123B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epubblica">
    <w:name w:val="repubblica"/>
    <w:basedOn w:val="Normale"/>
    <w:rsid w:val="00123B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nome">
    <w:name w:val="innome"/>
    <w:basedOn w:val="Normale"/>
    <w:rsid w:val="00123B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zione">
    <w:name w:val="sezione"/>
    <w:basedOn w:val="Normale"/>
    <w:rsid w:val="00123B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ula">
    <w:name w:val="tabula"/>
    <w:basedOn w:val="Normale"/>
    <w:rsid w:val="00123B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polo">
    <w:name w:val="popolo"/>
    <w:basedOn w:val="Normale"/>
    <w:rsid w:val="00123B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ntro">
    <w:name w:val="contro"/>
    <w:basedOn w:val="Normale"/>
    <w:rsid w:val="00123B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atto">
    <w:name w:val="fatto"/>
    <w:basedOn w:val="Normale"/>
    <w:rsid w:val="00123BE0"/>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32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2307</Words>
  <Characters>13155</Characters>
  <Application>Microsoft Office Word</Application>
  <DocSecurity>0</DocSecurity>
  <Lines>109</Lines>
  <Paragraphs>30</Paragraphs>
  <ScaleCrop>false</ScaleCrop>
  <Company/>
  <LinksUpToDate>false</LinksUpToDate>
  <CharactersWithSpaces>15432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2020-11-17T18:34:00Z</dcterms:created>
  <dcterms:modified xsi:type="dcterms:W3CDTF">2020-11-17T18:35:00Z</dcterms:modified>
</cp:coreProperties>
</file>